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64" w:rsidRPr="004D3670" w:rsidRDefault="00906F64" w:rsidP="00261CDF">
      <w:pPr>
        <w:spacing w:afterLines="100" w:after="360"/>
        <w:jc w:val="center"/>
        <w:rPr>
          <w:rFonts w:ascii="標楷體" w:eastAsia="標楷體" w:hAnsi="標楷體"/>
          <w:b/>
          <w:sz w:val="38"/>
          <w:szCs w:val="38"/>
        </w:rPr>
      </w:pPr>
      <w:r w:rsidRPr="004D3670">
        <w:rPr>
          <w:rFonts w:ascii="標楷體" w:eastAsia="標楷體" w:hAnsi="標楷體" w:hint="eastAsia"/>
          <w:b/>
          <w:sz w:val="38"/>
          <w:szCs w:val="38"/>
        </w:rPr>
        <w:t>交通部</w:t>
      </w:r>
      <w:r>
        <w:rPr>
          <w:rFonts w:ascii="標楷體" w:eastAsia="標楷體" w:hAnsi="標楷體" w:hint="eastAsia"/>
          <w:b/>
          <w:sz w:val="38"/>
          <w:szCs w:val="38"/>
        </w:rPr>
        <w:t>所屬機關(構)</w:t>
      </w:r>
      <w:r w:rsidRPr="004D3670">
        <w:rPr>
          <w:rFonts w:ascii="標楷體" w:eastAsia="標楷體" w:hAnsi="標楷體" w:hint="eastAsia"/>
          <w:b/>
          <w:sz w:val="38"/>
          <w:szCs w:val="38"/>
        </w:rPr>
        <w:t>廉政平臺座談會議題彙整表</w:t>
      </w:r>
    </w:p>
    <w:tbl>
      <w:tblPr>
        <w:tblStyle w:val="a3"/>
        <w:tblW w:w="0" w:type="auto"/>
        <w:tblLook w:val="04A0" w:firstRow="1" w:lastRow="0" w:firstColumn="1" w:lastColumn="0" w:noHBand="0" w:noVBand="1"/>
      </w:tblPr>
      <w:tblGrid>
        <w:gridCol w:w="8362"/>
      </w:tblGrid>
      <w:tr w:rsidR="005B5A05" w:rsidRPr="00BC16F2" w:rsidTr="00C96C27">
        <w:tc>
          <w:tcPr>
            <w:tcW w:w="8362" w:type="dxa"/>
          </w:tcPr>
          <w:p w:rsidR="005B5A05" w:rsidRPr="00057E7C" w:rsidRDefault="005B5A05" w:rsidP="005B5A05">
            <w:pPr>
              <w:spacing w:line="360" w:lineRule="auto"/>
              <w:ind w:left="1602" w:hangingChars="500" w:hanging="1602"/>
            </w:pPr>
            <w:r w:rsidRPr="00057E7C">
              <w:rPr>
                <w:rFonts w:ascii="標楷體" w:eastAsia="標楷體" w:hAnsi="標楷體" w:hint="eastAsia"/>
                <w:b/>
                <w:sz w:val="32"/>
                <w:szCs w:val="32"/>
              </w:rPr>
              <w:t>活動名稱：</w:t>
            </w:r>
            <w:r w:rsidRPr="00E41B09">
              <w:rPr>
                <w:rFonts w:ascii="標楷體" w:eastAsia="標楷體" w:hAnsi="標楷體" w:hint="eastAsia"/>
                <w:sz w:val="28"/>
                <w:szCs w:val="28"/>
              </w:rPr>
              <w:t>交通部臺灣區國道新建工程局</w:t>
            </w:r>
            <w:r w:rsidRPr="00E41B09">
              <w:rPr>
                <w:rFonts w:ascii="標楷體" w:eastAsia="標楷體" w:hAnsi="標楷體"/>
                <w:sz w:val="28"/>
                <w:szCs w:val="28"/>
              </w:rPr>
              <w:t>104</w:t>
            </w:r>
            <w:r w:rsidRPr="00E41B09">
              <w:rPr>
                <w:rFonts w:ascii="標楷體" w:eastAsia="標楷體" w:hAnsi="標楷體" w:hint="eastAsia"/>
                <w:sz w:val="28"/>
                <w:szCs w:val="28"/>
              </w:rPr>
              <w:t>年公共工程廉政平臺交流活動(第一區工程處場次)</w:t>
            </w:r>
          </w:p>
        </w:tc>
      </w:tr>
      <w:tr w:rsidR="005B5A05" w:rsidRPr="00A64A39" w:rsidTr="00C96C27">
        <w:tc>
          <w:tcPr>
            <w:tcW w:w="8362" w:type="dxa"/>
          </w:tcPr>
          <w:p w:rsidR="005B5A05" w:rsidRPr="00057E7C" w:rsidRDefault="005B5A05" w:rsidP="005B5A05">
            <w:pPr>
              <w:spacing w:line="360" w:lineRule="auto"/>
            </w:pPr>
            <w:r w:rsidRPr="00057E7C">
              <w:rPr>
                <w:rFonts w:ascii="標楷體" w:eastAsia="標楷體" w:hAnsi="標楷體" w:hint="eastAsia"/>
                <w:b/>
                <w:sz w:val="32"/>
                <w:szCs w:val="32"/>
              </w:rPr>
              <w:t>時間：</w:t>
            </w:r>
            <w:r w:rsidRPr="00057E7C">
              <w:rPr>
                <w:rFonts w:ascii="標楷體" w:eastAsia="標楷體" w:hAnsi="標楷體"/>
                <w:sz w:val="28"/>
                <w:szCs w:val="28"/>
              </w:rPr>
              <w:t>104</w:t>
            </w:r>
            <w:r w:rsidRPr="00057E7C">
              <w:rPr>
                <w:rFonts w:ascii="標楷體" w:eastAsia="標楷體" w:hAnsi="標楷體" w:hint="eastAsia"/>
                <w:sz w:val="28"/>
                <w:szCs w:val="28"/>
              </w:rPr>
              <w:t>年</w:t>
            </w:r>
            <w:r w:rsidRPr="00057E7C">
              <w:rPr>
                <w:rFonts w:ascii="標楷體" w:eastAsia="標楷體" w:hAnsi="標楷體"/>
                <w:sz w:val="28"/>
                <w:szCs w:val="28"/>
              </w:rPr>
              <w:t>7</w:t>
            </w:r>
            <w:r w:rsidRPr="00057E7C">
              <w:rPr>
                <w:rFonts w:ascii="標楷體" w:eastAsia="標楷體" w:hAnsi="標楷體" w:hint="eastAsia"/>
                <w:sz w:val="28"/>
                <w:szCs w:val="28"/>
              </w:rPr>
              <w:t>月</w:t>
            </w:r>
            <w:r w:rsidRPr="00057E7C">
              <w:rPr>
                <w:rFonts w:ascii="標楷體" w:eastAsia="標楷體" w:hAnsi="標楷體"/>
                <w:sz w:val="28"/>
                <w:szCs w:val="28"/>
              </w:rPr>
              <w:t>29</w:t>
            </w:r>
            <w:r w:rsidRPr="00057E7C">
              <w:rPr>
                <w:rFonts w:ascii="標楷體" w:eastAsia="標楷體" w:hAnsi="標楷體" w:hint="eastAsia"/>
                <w:sz w:val="28"/>
                <w:szCs w:val="28"/>
              </w:rPr>
              <w:t>日</w:t>
            </w:r>
          </w:p>
        </w:tc>
      </w:tr>
      <w:tr w:rsidR="005B5A05" w:rsidRPr="00A64A39" w:rsidTr="00C96C27">
        <w:tc>
          <w:tcPr>
            <w:tcW w:w="8362" w:type="dxa"/>
          </w:tcPr>
          <w:p w:rsidR="005B5A05" w:rsidRPr="00057E7C" w:rsidRDefault="005B5A05" w:rsidP="005B5A05">
            <w:pPr>
              <w:spacing w:line="360" w:lineRule="auto"/>
            </w:pPr>
            <w:r w:rsidRPr="00057E7C">
              <w:rPr>
                <w:rFonts w:ascii="標楷體" w:eastAsia="標楷體" w:hAnsi="標楷體" w:hint="eastAsia"/>
                <w:b/>
                <w:sz w:val="32"/>
                <w:szCs w:val="32"/>
              </w:rPr>
              <w:t>地點：</w:t>
            </w:r>
            <w:r w:rsidRPr="00057E7C">
              <w:rPr>
                <w:rFonts w:ascii="標楷體" w:eastAsia="標楷體" w:hAnsi="標楷體" w:hint="eastAsia"/>
                <w:sz w:val="28"/>
                <w:szCs w:val="28"/>
              </w:rPr>
              <w:t>交通部臺灣區國道新建工程局第一區工程處</w:t>
            </w:r>
            <w:r w:rsidRPr="00057E7C">
              <w:rPr>
                <w:rFonts w:ascii="標楷體" w:eastAsia="標楷體" w:hAnsi="標楷體"/>
                <w:sz w:val="28"/>
                <w:szCs w:val="28"/>
              </w:rPr>
              <w:t>6</w:t>
            </w:r>
            <w:r w:rsidRPr="00057E7C">
              <w:rPr>
                <w:rFonts w:ascii="標楷體" w:eastAsia="標楷體" w:hAnsi="標楷體" w:hint="eastAsia"/>
                <w:sz w:val="28"/>
                <w:szCs w:val="28"/>
              </w:rPr>
              <w:t>樓會議室</w:t>
            </w:r>
          </w:p>
        </w:tc>
      </w:tr>
      <w:tr w:rsidR="005B5A05" w:rsidRPr="00A64A39" w:rsidTr="00C96C27">
        <w:tc>
          <w:tcPr>
            <w:tcW w:w="8362" w:type="dxa"/>
          </w:tcPr>
          <w:p w:rsidR="005B5A05" w:rsidRPr="00057E7C" w:rsidRDefault="005B5A05" w:rsidP="005B5A05">
            <w:pPr>
              <w:spacing w:line="360" w:lineRule="auto"/>
              <w:rPr>
                <w:rFonts w:ascii="標楷體" w:eastAsia="標楷體" w:hAnsi="標楷體"/>
                <w:b/>
                <w:sz w:val="32"/>
                <w:szCs w:val="32"/>
              </w:rPr>
            </w:pPr>
            <w:r w:rsidRPr="00057E7C">
              <w:rPr>
                <w:rFonts w:ascii="標楷體" w:eastAsia="標楷體" w:hAnsi="標楷體" w:hint="eastAsia"/>
                <w:b/>
                <w:sz w:val="32"/>
                <w:szCs w:val="32"/>
              </w:rPr>
              <w:t>主持人：</w:t>
            </w:r>
            <w:r w:rsidRPr="00057E7C">
              <w:rPr>
                <w:rFonts w:ascii="標楷體" w:eastAsia="標楷體" w:hAnsi="標楷體" w:hint="eastAsia"/>
                <w:sz w:val="28"/>
                <w:szCs w:val="28"/>
              </w:rPr>
              <w:t>交通部臺灣區國道新建工程局第一區工程處</w:t>
            </w:r>
            <w:r w:rsidRPr="00057E7C">
              <w:rPr>
                <w:rFonts w:ascii="標楷體" w:eastAsia="標楷體" w:hAnsi="標楷體" w:hint="eastAsia"/>
                <w:kern w:val="0"/>
                <w:sz w:val="28"/>
                <w:szCs w:val="28"/>
              </w:rPr>
              <w:t>處長陳福將</w:t>
            </w:r>
          </w:p>
        </w:tc>
      </w:tr>
      <w:tr w:rsidR="006E7852" w:rsidRPr="00A64A39" w:rsidTr="00C96C27">
        <w:tc>
          <w:tcPr>
            <w:tcW w:w="8362" w:type="dxa"/>
          </w:tcPr>
          <w:p w:rsidR="005B5A05" w:rsidRDefault="005B5A05" w:rsidP="005B5A05">
            <w:pPr>
              <w:spacing w:line="360" w:lineRule="auto"/>
              <w:ind w:left="1560" w:rightChars="-50" w:right="-120" w:hangingChars="487" w:hanging="1560"/>
              <w:rPr>
                <w:rFonts w:ascii="標楷體" w:eastAsia="標楷體" w:hAnsi="標楷體"/>
                <w:kern w:val="0"/>
                <w:sz w:val="28"/>
                <w:szCs w:val="28"/>
              </w:rPr>
            </w:pPr>
            <w:r w:rsidRPr="00057E7C">
              <w:rPr>
                <w:rFonts w:ascii="標楷體" w:eastAsia="標楷體" w:hAnsi="標楷體" w:hint="eastAsia"/>
                <w:b/>
                <w:sz w:val="32"/>
                <w:szCs w:val="32"/>
              </w:rPr>
              <w:t>重要貴賓：</w:t>
            </w:r>
            <w:r w:rsidRPr="00057E7C">
              <w:rPr>
                <w:rFonts w:ascii="標楷體" w:eastAsia="標楷體" w:hAnsi="標楷體" w:hint="eastAsia"/>
                <w:kern w:val="0"/>
                <w:sz w:val="28"/>
                <w:szCs w:val="28"/>
              </w:rPr>
              <w:t>中華民國工程法律學會理事長姚志明教授、</w:t>
            </w:r>
            <w:r>
              <w:rPr>
                <w:rFonts w:ascii="標楷體" w:eastAsia="標楷體" w:hAnsi="標楷體" w:hint="eastAsia"/>
                <w:kern w:val="0"/>
                <w:sz w:val="28"/>
                <w:szCs w:val="28"/>
              </w:rPr>
              <w:t>國道新建工程局政風室主任林木本、承攬廠商代表、監造顧問公司代表等</w:t>
            </w:r>
            <w:r w:rsidRPr="00E41B09">
              <w:rPr>
                <w:rFonts w:ascii="標楷體" w:eastAsia="標楷體" w:hAnsi="標楷體" w:hint="eastAsia"/>
                <w:kern w:val="0"/>
                <w:sz w:val="28"/>
                <w:szCs w:val="28"/>
              </w:rPr>
              <w:t>，計參加人員約</w:t>
            </w:r>
            <w:r>
              <w:rPr>
                <w:rFonts w:ascii="標楷體" w:eastAsia="標楷體" w:hAnsi="標楷體" w:hint="eastAsia"/>
                <w:kern w:val="0"/>
                <w:sz w:val="28"/>
                <w:szCs w:val="28"/>
              </w:rPr>
              <w:t>50</w:t>
            </w:r>
            <w:r w:rsidRPr="00E41B09">
              <w:rPr>
                <w:rFonts w:ascii="標楷體" w:eastAsia="標楷體" w:hAnsi="標楷體" w:hint="eastAsia"/>
                <w:kern w:val="0"/>
                <w:sz w:val="28"/>
                <w:szCs w:val="28"/>
              </w:rPr>
              <w:t>人。</w:t>
            </w:r>
          </w:p>
          <w:p w:rsidR="00BC16F2" w:rsidRPr="005B5A05" w:rsidRDefault="00BC16F2" w:rsidP="005B5A05">
            <w:pPr>
              <w:adjustRightInd w:val="0"/>
              <w:snapToGrid w:val="0"/>
              <w:spacing w:afterLines="50" w:after="180" w:line="360" w:lineRule="auto"/>
              <w:jc w:val="both"/>
              <w:rPr>
                <w:rFonts w:ascii="標楷體" w:eastAsia="標楷體" w:hAnsi="標楷體"/>
                <w:sz w:val="28"/>
                <w:szCs w:val="28"/>
              </w:rPr>
            </w:pPr>
          </w:p>
          <w:p w:rsidR="00BC16F2"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BC16F2"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BC16F2"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5B5A05" w:rsidRDefault="005B5A05"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5B5A05" w:rsidRDefault="005B5A05"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BC16F2"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BC16F2"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p w:rsidR="00BC16F2" w:rsidRPr="00FD42D9" w:rsidRDefault="00BC16F2" w:rsidP="005B5A05">
            <w:pPr>
              <w:adjustRightInd w:val="0"/>
              <w:snapToGrid w:val="0"/>
              <w:spacing w:afterLines="50" w:after="180" w:line="360" w:lineRule="auto"/>
              <w:ind w:left="1400" w:hangingChars="500" w:hanging="1400"/>
              <w:jc w:val="both"/>
              <w:rPr>
                <w:rFonts w:ascii="標楷體" w:eastAsia="標楷體" w:hAnsi="標楷體"/>
                <w:sz w:val="28"/>
                <w:szCs w:val="28"/>
              </w:rPr>
            </w:pPr>
          </w:p>
        </w:tc>
      </w:tr>
    </w:tbl>
    <w:p w:rsidR="00A66F63" w:rsidRPr="00F35A00" w:rsidRDefault="00A66F63" w:rsidP="00470B0B">
      <w:pPr>
        <w:jc w:val="center"/>
        <w:rPr>
          <w:rFonts w:ascii="標楷體" w:eastAsia="標楷體" w:hAnsi="標楷體"/>
        </w:rPr>
        <w:sectPr w:rsidR="00A66F63" w:rsidRPr="00F35A00" w:rsidSect="003437F2">
          <w:footerReference w:type="default" r:id="rId9"/>
          <w:pgSz w:w="11906" w:h="16838"/>
          <w:pgMar w:top="1440" w:right="1800" w:bottom="1440" w:left="1800" w:header="851" w:footer="992" w:gutter="0"/>
          <w:pgNumType w:start="1"/>
          <w:cols w:space="425"/>
          <w:docGrid w:type="lines" w:linePitch="360"/>
        </w:sectPr>
      </w:pPr>
    </w:p>
    <w:tbl>
      <w:tblPr>
        <w:tblStyle w:val="a3"/>
        <w:tblW w:w="0" w:type="auto"/>
        <w:tblLook w:val="04A0" w:firstRow="1" w:lastRow="0" w:firstColumn="1" w:lastColumn="0" w:noHBand="0" w:noVBand="1"/>
      </w:tblPr>
      <w:tblGrid>
        <w:gridCol w:w="4181"/>
        <w:gridCol w:w="4181"/>
      </w:tblGrid>
      <w:tr w:rsidR="00A64A39" w:rsidRPr="00A64A39" w:rsidTr="00A66F63">
        <w:trPr>
          <w:tblHeader/>
        </w:trPr>
        <w:tc>
          <w:tcPr>
            <w:tcW w:w="4181" w:type="dxa"/>
          </w:tcPr>
          <w:p w:rsidR="00A64A39" w:rsidRPr="0077183E" w:rsidRDefault="00A64A39" w:rsidP="00470B0B">
            <w:pPr>
              <w:jc w:val="center"/>
              <w:rPr>
                <w:rFonts w:ascii="標楷體" w:eastAsia="標楷體" w:hAnsi="標楷體" w:cs="Times New Roman"/>
                <w:b/>
                <w:sz w:val="32"/>
                <w:szCs w:val="32"/>
              </w:rPr>
            </w:pPr>
            <w:r w:rsidRPr="0077183E">
              <w:rPr>
                <w:rFonts w:ascii="標楷體" w:eastAsia="標楷體" w:hAnsi="標楷體" w:cs="Times New Roman" w:hint="eastAsia"/>
                <w:b/>
                <w:sz w:val="32"/>
                <w:szCs w:val="32"/>
              </w:rPr>
              <w:lastRenderedPageBreak/>
              <w:t>議</w:t>
            </w:r>
            <w:r w:rsidR="003437F2">
              <w:rPr>
                <w:rFonts w:ascii="標楷體" w:eastAsia="標楷體" w:hAnsi="標楷體" w:cs="Times New Roman" w:hint="eastAsia"/>
                <w:b/>
                <w:sz w:val="32"/>
                <w:szCs w:val="32"/>
              </w:rPr>
              <w:t xml:space="preserve"> </w:t>
            </w:r>
            <w:r w:rsidRPr="0077183E">
              <w:rPr>
                <w:rFonts w:ascii="標楷體" w:eastAsia="標楷體" w:hAnsi="標楷體" w:cs="Times New Roman" w:hint="eastAsia"/>
                <w:b/>
                <w:sz w:val="32"/>
                <w:szCs w:val="32"/>
              </w:rPr>
              <w:t>題</w:t>
            </w:r>
          </w:p>
        </w:tc>
        <w:tc>
          <w:tcPr>
            <w:tcW w:w="4181" w:type="dxa"/>
          </w:tcPr>
          <w:p w:rsidR="00A64A39" w:rsidRPr="0077183E" w:rsidRDefault="00A64A39" w:rsidP="00470B0B">
            <w:pPr>
              <w:jc w:val="center"/>
              <w:rPr>
                <w:rFonts w:ascii="標楷體" w:eastAsia="標楷體" w:hAnsi="標楷體" w:cs="Times New Roman"/>
                <w:b/>
                <w:sz w:val="32"/>
                <w:szCs w:val="32"/>
              </w:rPr>
            </w:pPr>
            <w:r w:rsidRPr="0077183E">
              <w:rPr>
                <w:rFonts w:ascii="標楷體" w:eastAsia="標楷體" w:hAnsi="標楷體" w:cs="Times New Roman" w:hint="eastAsia"/>
                <w:b/>
                <w:sz w:val="32"/>
                <w:szCs w:val="32"/>
              </w:rPr>
              <w:t>說</w:t>
            </w:r>
            <w:r w:rsidR="003437F2">
              <w:rPr>
                <w:rFonts w:ascii="標楷體" w:eastAsia="標楷體" w:hAnsi="標楷體" w:cs="Times New Roman" w:hint="eastAsia"/>
                <w:b/>
                <w:sz w:val="32"/>
                <w:szCs w:val="32"/>
              </w:rPr>
              <w:t xml:space="preserve"> </w:t>
            </w:r>
            <w:r w:rsidRPr="0077183E">
              <w:rPr>
                <w:rFonts w:ascii="標楷體" w:eastAsia="標楷體" w:hAnsi="標楷體" w:cs="Times New Roman" w:hint="eastAsia"/>
                <w:b/>
                <w:sz w:val="32"/>
                <w:szCs w:val="32"/>
              </w:rPr>
              <w:t>明</w:t>
            </w:r>
          </w:p>
        </w:tc>
      </w:tr>
      <w:tr w:rsidR="00A64A39" w:rsidRPr="00A64A39" w:rsidTr="00A64A39">
        <w:tc>
          <w:tcPr>
            <w:tcW w:w="4181" w:type="dxa"/>
          </w:tcPr>
          <w:p w:rsidR="006E7852" w:rsidRPr="00A64A39" w:rsidRDefault="0077183E" w:rsidP="00ED114F">
            <w:pPr>
              <w:spacing w:beforeLines="50" w:before="180" w:line="0" w:lineRule="atLeast"/>
              <w:ind w:leftChars="1" w:left="568" w:hangingChars="202" w:hanging="566"/>
              <w:jc w:val="both"/>
              <w:rPr>
                <w:rFonts w:ascii="標楷體" w:eastAsia="標楷體" w:hAnsi="標楷體"/>
              </w:rPr>
            </w:pPr>
            <w:r>
              <w:rPr>
                <w:rFonts w:ascii="標楷體" w:eastAsia="標楷體" w:hAnsi="標楷體" w:cs="Times New Roman" w:hint="eastAsia"/>
                <w:b/>
                <w:sz w:val="28"/>
                <w:szCs w:val="28"/>
              </w:rPr>
              <w:t>一、</w:t>
            </w:r>
            <w:r w:rsidR="005B5A05" w:rsidRPr="005B5A05">
              <w:rPr>
                <w:rFonts w:ascii="標楷體" w:eastAsia="標楷體" w:hAnsi="標楷體" w:cs="Times New Roman" w:hint="eastAsia"/>
                <w:b/>
                <w:sz w:val="28"/>
                <w:szCs w:val="28"/>
              </w:rPr>
              <w:t>有關「工期展延」案，依契約規定應於事件發生後28天內承商應提出工期展延申請，惟承商常於事件發生後來函敘明將提出工期展延，卻於規定期限後才提出工期展延申請，請問機關是否可給予工期展延？</w:t>
            </w:r>
          </w:p>
        </w:tc>
        <w:tc>
          <w:tcPr>
            <w:tcW w:w="4181" w:type="dxa"/>
          </w:tcPr>
          <w:p w:rsidR="005B5A05" w:rsidRPr="005B5A05" w:rsidRDefault="005B5A05" w:rsidP="0062141A">
            <w:pPr>
              <w:spacing w:beforeLines="50" w:before="180" w:line="276" w:lineRule="auto"/>
              <w:jc w:val="both"/>
              <w:rPr>
                <w:rFonts w:ascii="標楷體" w:eastAsia="標楷體" w:hAnsi="標楷體"/>
                <w:b/>
                <w:szCs w:val="24"/>
                <w:u w:val="double"/>
              </w:rPr>
            </w:pPr>
            <w:r w:rsidRPr="005B5A05">
              <w:rPr>
                <w:rFonts w:ascii="標楷體" w:eastAsia="標楷體" w:hAnsi="標楷體" w:hint="eastAsia"/>
                <w:b/>
                <w:szCs w:val="24"/>
                <w:u w:val="double"/>
              </w:rPr>
              <w:t>中華民國工程法律學會理事長姚志明：</w:t>
            </w:r>
          </w:p>
          <w:p w:rsidR="005B5A05" w:rsidRPr="005B5A05" w:rsidRDefault="005B5A05" w:rsidP="0062141A">
            <w:pPr>
              <w:spacing w:beforeLines="50" w:before="180" w:line="276" w:lineRule="auto"/>
              <w:ind w:left="480" w:hangingChars="200" w:hanging="480"/>
              <w:jc w:val="both"/>
              <w:rPr>
                <w:rFonts w:ascii="標楷體" w:eastAsia="標楷體" w:hAnsi="標楷體"/>
                <w:szCs w:val="24"/>
              </w:rPr>
            </w:pPr>
            <w:r w:rsidRPr="005B5A05">
              <w:rPr>
                <w:rFonts w:ascii="標楷體" w:eastAsia="標楷體" w:hAnsi="標楷體" w:hint="eastAsia"/>
                <w:szCs w:val="24"/>
              </w:rPr>
              <w:t>一、有關工期展延之申請，承商得於事實發生後</w:t>
            </w:r>
            <w:r w:rsidRPr="005B5A05">
              <w:rPr>
                <w:rFonts w:ascii="標楷體" w:eastAsia="標楷體" w:hAnsi="標楷體"/>
                <w:szCs w:val="24"/>
              </w:rPr>
              <w:t>7</w:t>
            </w:r>
            <w:r w:rsidRPr="005B5A05">
              <w:rPr>
                <w:rFonts w:ascii="標楷體" w:eastAsia="標楷體" w:hAnsi="標楷體" w:hint="eastAsia"/>
                <w:szCs w:val="24"/>
              </w:rPr>
              <w:t>天內通知並於</w:t>
            </w:r>
            <w:r w:rsidRPr="005B5A05">
              <w:rPr>
                <w:rFonts w:ascii="標楷體" w:eastAsia="標楷體" w:hAnsi="標楷體"/>
                <w:szCs w:val="24"/>
              </w:rPr>
              <w:t>45</w:t>
            </w:r>
            <w:r w:rsidRPr="005B5A05">
              <w:rPr>
                <w:rFonts w:ascii="標楷體" w:eastAsia="標楷體" w:hAnsi="標楷體" w:hint="eastAsia"/>
                <w:szCs w:val="24"/>
              </w:rPr>
              <w:t>天內檢附事證，向主辦機關申請展延。若契約已規定申請期限，承商超過期限而主辦機關仍允許申請，恐生疑義。蓋契約文件係採購履約管理之依據，契約中既已明訂，主辦機關與承商即應遵守，縱需舉證展延原因係不可歸責於承商之事由，亦無礙於承商依規定期限申請。基於保護雙方當事人立場</w:t>
            </w:r>
            <w:r w:rsidRPr="005B5A05">
              <w:rPr>
                <w:rFonts w:ascii="標楷體" w:eastAsia="標楷體" w:hAnsi="標楷體"/>
                <w:szCs w:val="24"/>
              </w:rPr>
              <w:t>(</w:t>
            </w:r>
            <w:r w:rsidRPr="005B5A05">
              <w:rPr>
                <w:rFonts w:ascii="標楷體" w:eastAsia="標楷體" w:hAnsi="標楷體" w:hint="eastAsia"/>
                <w:szCs w:val="24"/>
              </w:rPr>
              <w:t>廠商、主辦機關</w:t>
            </w:r>
            <w:r w:rsidRPr="005B5A05">
              <w:rPr>
                <w:rFonts w:ascii="標楷體" w:eastAsia="標楷體" w:hAnsi="標楷體"/>
                <w:szCs w:val="24"/>
              </w:rPr>
              <w:t>)</w:t>
            </w:r>
            <w:r w:rsidRPr="005B5A05">
              <w:rPr>
                <w:rFonts w:ascii="標楷體" w:eastAsia="標楷體" w:hAnsi="標楷體" w:hint="eastAsia"/>
                <w:szCs w:val="24"/>
              </w:rPr>
              <w:t>，仍應依契約規定期限內提出申請，俾減省爭議。</w:t>
            </w:r>
          </w:p>
          <w:p w:rsidR="005B5A05" w:rsidRPr="005B5A05" w:rsidRDefault="005B5A05" w:rsidP="0062141A">
            <w:pPr>
              <w:spacing w:beforeLines="50" w:before="180" w:line="276" w:lineRule="auto"/>
              <w:ind w:left="480" w:hangingChars="200" w:hanging="480"/>
              <w:jc w:val="both"/>
              <w:rPr>
                <w:rFonts w:ascii="標楷體" w:eastAsia="標楷體" w:hAnsi="標楷體"/>
                <w:szCs w:val="24"/>
              </w:rPr>
            </w:pPr>
            <w:r w:rsidRPr="005B5A05">
              <w:rPr>
                <w:rFonts w:ascii="標楷體" w:eastAsia="標楷體" w:hAnsi="標楷體" w:hint="eastAsia"/>
                <w:szCs w:val="24"/>
              </w:rPr>
              <w:t>二、若承商</w:t>
            </w:r>
            <w:r>
              <w:rPr>
                <w:rFonts w:ascii="標楷體" w:eastAsia="標楷體" w:hAnsi="標楷體" w:hint="eastAsia"/>
                <w:szCs w:val="24"/>
              </w:rPr>
              <w:t>在期限內</w:t>
            </w:r>
            <w:r w:rsidRPr="005B5A05">
              <w:rPr>
                <w:rFonts w:ascii="標楷體" w:eastAsia="標楷體" w:hAnsi="標楷體" w:hint="eastAsia"/>
                <w:szCs w:val="24"/>
              </w:rPr>
              <w:t>已送件，惟文件不完整而另以補件之名義再為後續之補送，應同意該申請案，蓋工程文件相當繁複，常有不及備載之情形。反之，承商僅通知主辦機關，卻完全不提供相關事證，若逾</w:t>
            </w:r>
            <w:r w:rsidRPr="005B5A05">
              <w:rPr>
                <w:rFonts w:ascii="標楷體" w:eastAsia="標楷體" w:hAnsi="標楷體"/>
                <w:szCs w:val="24"/>
              </w:rPr>
              <w:t>45</w:t>
            </w:r>
            <w:r w:rsidRPr="005B5A05">
              <w:rPr>
                <w:rFonts w:ascii="標楷體" w:eastAsia="標楷體" w:hAnsi="標楷體" w:hint="eastAsia"/>
                <w:szCs w:val="24"/>
              </w:rPr>
              <w:t>天期限，已屬程序不完備之情況，此時應不允許承商之申請，較為妥適。</w:t>
            </w:r>
          </w:p>
          <w:p w:rsidR="005B5A05" w:rsidRPr="005B5A05" w:rsidRDefault="005B5A05" w:rsidP="0062141A">
            <w:pPr>
              <w:spacing w:beforeLines="50" w:before="180" w:line="276" w:lineRule="auto"/>
              <w:jc w:val="both"/>
              <w:rPr>
                <w:rFonts w:ascii="標楷體" w:eastAsia="標楷體" w:hAnsi="標楷體"/>
                <w:b/>
                <w:szCs w:val="24"/>
                <w:u w:val="double"/>
              </w:rPr>
            </w:pPr>
            <w:r w:rsidRPr="005B5A05">
              <w:rPr>
                <w:rFonts w:ascii="標楷體" w:eastAsia="標楷體" w:hAnsi="標楷體" w:hint="eastAsia"/>
                <w:b/>
                <w:szCs w:val="24"/>
                <w:u w:val="double"/>
              </w:rPr>
              <w:t>國工局第一區工程處處長陳福將：</w:t>
            </w:r>
          </w:p>
          <w:p w:rsidR="005B5A05" w:rsidRPr="005B5A05" w:rsidRDefault="005B5A05" w:rsidP="0062141A">
            <w:pPr>
              <w:spacing w:beforeLines="50" w:before="180" w:line="276" w:lineRule="auto"/>
              <w:jc w:val="both"/>
              <w:rPr>
                <w:rFonts w:ascii="標楷體" w:eastAsia="標楷體" w:hAnsi="標楷體"/>
                <w:szCs w:val="24"/>
              </w:rPr>
            </w:pPr>
            <w:r>
              <w:rPr>
                <w:rFonts w:ascii="標楷體" w:eastAsia="標楷體" w:hAnsi="標楷體" w:hint="eastAsia"/>
                <w:szCs w:val="24"/>
              </w:rPr>
              <w:t>機關</w:t>
            </w:r>
            <w:r w:rsidRPr="005B5A05">
              <w:rPr>
                <w:rFonts w:ascii="標楷體" w:eastAsia="標楷體" w:hAnsi="標楷體" w:hint="eastAsia"/>
                <w:szCs w:val="24"/>
              </w:rPr>
              <w:t>同仁於裁量判斷時常遭遇之困擾，為免相同情形卻有不同處理方式，須有</w:t>
            </w:r>
            <w:r w:rsidR="003C491C">
              <w:rPr>
                <w:rFonts w:ascii="標楷體" w:eastAsia="標楷體" w:hAnsi="標楷體" w:hint="eastAsia"/>
                <w:szCs w:val="24"/>
              </w:rPr>
              <w:t>統一裁量標準。主辦機關應確實執行契約內容，督促監造及承商須同樣</w:t>
            </w:r>
            <w:r w:rsidRPr="005B5A05">
              <w:rPr>
                <w:rFonts w:ascii="標楷體" w:eastAsia="標楷體" w:hAnsi="標楷體" w:hint="eastAsia"/>
                <w:szCs w:val="24"/>
              </w:rPr>
              <w:t>遵守契約規範，日後有關工期展延之申請</w:t>
            </w:r>
            <w:r w:rsidRPr="005B5A05">
              <w:rPr>
                <w:rFonts w:ascii="標楷體" w:eastAsia="標楷體" w:hAnsi="標楷體" w:hint="eastAsia"/>
                <w:szCs w:val="24"/>
              </w:rPr>
              <w:lastRenderedPageBreak/>
              <w:t>案件務必依契約規定辦理，契約未規定者，即依政府採購法及其相關規定辦理。</w:t>
            </w:r>
          </w:p>
          <w:p w:rsidR="005B5A05" w:rsidRPr="005B5A05" w:rsidRDefault="005B5A05" w:rsidP="0062141A">
            <w:pPr>
              <w:spacing w:beforeLines="50" w:before="180" w:line="276" w:lineRule="auto"/>
              <w:jc w:val="both"/>
              <w:rPr>
                <w:rFonts w:ascii="標楷體" w:eastAsia="標楷體" w:hAnsi="標楷體"/>
                <w:b/>
                <w:szCs w:val="24"/>
                <w:u w:val="double"/>
              </w:rPr>
            </w:pPr>
            <w:r w:rsidRPr="005B5A05">
              <w:rPr>
                <w:rFonts w:ascii="標楷體" w:eastAsia="標楷體" w:hAnsi="標楷體" w:hint="eastAsia"/>
                <w:b/>
                <w:szCs w:val="24"/>
                <w:u w:val="double"/>
              </w:rPr>
              <w:t>中華民國工程法律學會理事長姚志明：</w:t>
            </w:r>
          </w:p>
          <w:p w:rsidR="005B5A05" w:rsidRPr="005B5A05" w:rsidRDefault="005B5A05" w:rsidP="0062141A">
            <w:pPr>
              <w:spacing w:beforeLines="50" w:before="180" w:line="276" w:lineRule="auto"/>
              <w:jc w:val="both"/>
              <w:rPr>
                <w:rFonts w:ascii="標楷體" w:eastAsia="標楷體" w:hAnsi="標楷體"/>
                <w:szCs w:val="24"/>
              </w:rPr>
            </w:pPr>
            <w:r w:rsidRPr="005B5A05">
              <w:rPr>
                <w:rFonts w:ascii="標楷體" w:eastAsia="標楷體" w:hAnsi="標楷體" w:hint="eastAsia"/>
                <w:kern w:val="0"/>
                <w:szCs w:val="24"/>
              </w:rPr>
              <w:t>契約文件若有完備之規定，即為賦予主辦機關權限，須注意的是，承商與主辦機關之訊息往來應以函文方式為之，主辦機關並應保存書面紀錄佐證。若事前未同意則事後不能再為同意，否則可能有圖利廠商之爭議。另外建議貴局於辦理工期展延程序時，須有統一裁量標準，相同情形應作相同處理，將差異性降到最低，承辦人員方能</w:t>
            </w:r>
            <w:r w:rsidRPr="005B5A05">
              <w:rPr>
                <w:rFonts w:ascii="標楷體" w:eastAsia="標楷體" w:hAnsi="標楷體" w:hint="eastAsia"/>
                <w:szCs w:val="24"/>
              </w:rPr>
              <w:t>依法行政，毋庸承擔不必要之風險。</w:t>
            </w:r>
          </w:p>
          <w:p w:rsidR="005B5A05" w:rsidRPr="005B5A05" w:rsidRDefault="005B5A05" w:rsidP="0062141A">
            <w:pPr>
              <w:spacing w:beforeLines="50" w:before="180" w:line="276" w:lineRule="auto"/>
              <w:jc w:val="both"/>
              <w:rPr>
                <w:rFonts w:ascii="標楷體" w:eastAsia="標楷體" w:hAnsi="標楷體"/>
                <w:b/>
                <w:szCs w:val="24"/>
                <w:u w:val="double"/>
              </w:rPr>
            </w:pPr>
            <w:r w:rsidRPr="005B5A05">
              <w:rPr>
                <w:rFonts w:ascii="標楷體" w:eastAsia="標楷體" w:hAnsi="標楷體" w:hint="eastAsia"/>
                <w:b/>
                <w:szCs w:val="24"/>
                <w:u w:val="double"/>
              </w:rPr>
              <w:t>國工局第一區工程處處長陳福將：</w:t>
            </w:r>
          </w:p>
          <w:p w:rsidR="00BC16F2" w:rsidRDefault="005B5A05" w:rsidP="0062141A">
            <w:pPr>
              <w:spacing w:line="276" w:lineRule="auto"/>
              <w:jc w:val="both"/>
              <w:rPr>
                <w:rFonts w:ascii="標楷體" w:eastAsia="標楷體" w:hAnsi="標楷體"/>
                <w:kern w:val="0"/>
                <w:szCs w:val="24"/>
              </w:rPr>
            </w:pPr>
            <w:r w:rsidRPr="005B5A05">
              <w:rPr>
                <w:rFonts w:ascii="標楷體" w:eastAsia="標楷體" w:hAnsi="標楷體" w:hint="eastAsia"/>
                <w:kern w:val="0"/>
                <w:szCs w:val="24"/>
              </w:rPr>
              <w:t>實務上曾發生承商因疏忽或舉證蒐集資料須相當之時間造成遲延申請，影響承商權益甚鉅，為解決類此爭議，始另授權工程司在特殊之狀況並經其同意後，無須於</w:t>
            </w:r>
            <w:r w:rsidRPr="005B5A05">
              <w:rPr>
                <w:rFonts w:ascii="標楷體" w:eastAsia="標楷體" w:hAnsi="標楷體"/>
                <w:kern w:val="0"/>
                <w:szCs w:val="24"/>
              </w:rPr>
              <w:t>28</w:t>
            </w:r>
            <w:r w:rsidRPr="005B5A05">
              <w:rPr>
                <w:rFonts w:ascii="標楷體" w:eastAsia="標楷體" w:hAnsi="標楷體" w:hint="eastAsia"/>
                <w:kern w:val="0"/>
                <w:szCs w:val="24"/>
              </w:rPr>
              <w:t>天內提出申請。姚志明教授所建議，以函文方式往來並保存書面紀錄，以確立辦理時點，確能避免後續</w:t>
            </w:r>
            <w:r w:rsidR="006C5128" w:rsidRPr="005B5A05">
              <w:rPr>
                <w:rFonts w:ascii="標楷體" w:eastAsia="標楷體" w:hAnsi="標楷體" w:hint="eastAsia"/>
                <w:kern w:val="0"/>
                <w:szCs w:val="24"/>
              </w:rPr>
              <w:t>爭</w:t>
            </w:r>
            <w:proofErr w:type="gramStart"/>
            <w:r w:rsidRPr="005B5A05">
              <w:rPr>
                <w:rFonts w:ascii="標楷體" w:eastAsia="標楷體" w:hAnsi="標楷體" w:hint="eastAsia"/>
                <w:kern w:val="0"/>
                <w:szCs w:val="24"/>
              </w:rPr>
              <w:t>訟</w:t>
            </w:r>
            <w:proofErr w:type="gramEnd"/>
            <w:r w:rsidRPr="005B5A05">
              <w:rPr>
                <w:rFonts w:ascii="標楷體" w:eastAsia="標楷體" w:hAnsi="標楷體" w:hint="eastAsia"/>
                <w:kern w:val="0"/>
                <w:szCs w:val="24"/>
              </w:rPr>
              <w:t>，未來將要求同仁與承商落實執行。</w:t>
            </w:r>
          </w:p>
          <w:p w:rsidR="005B5A05" w:rsidRPr="005B5A05" w:rsidRDefault="005B5A05" w:rsidP="002E4EB0">
            <w:pPr>
              <w:spacing w:line="276" w:lineRule="auto"/>
              <w:rPr>
                <w:rFonts w:ascii="標楷體" w:eastAsia="標楷體" w:hAnsi="標楷體"/>
                <w:kern w:val="0"/>
                <w:szCs w:val="24"/>
              </w:rPr>
            </w:pPr>
          </w:p>
        </w:tc>
      </w:tr>
      <w:tr w:rsidR="00A64A39" w:rsidRPr="00A64A39" w:rsidTr="00A64A39">
        <w:tc>
          <w:tcPr>
            <w:tcW w:w="4181" w:type="dxa"/>
          </w:tcPr>
          <w:p w:rsidR="009824A4" w:rsidRDefault="00F35A00" w:rsidP="00ED114F">
            <w:pPr>
              <w:spacing w:beforeLines="50" w:before="180" w:line="0" w:lineRule="atLeast"/>
              <w:ind w:left="566" w:hangingChars="202" w:hanging="566"/>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二</w:t>
            </w:r>
            <w:r w:rsidR="0077183E">
              <w:rPr>
                <w:rFonts w:ascii="標楷體" w:eastAsia="標楷體" w:hAnsi="標楷體" w:cs="Times New Roman" w:hint="eastAsia"/>
                <w:b/>
                <w:sz w:val="28"/>
                <w:szCs w:val="28"/>
              </w:rPr>
              <w:t>、</w:t>
            </w:r>
            <w:r w:rsidR="005B5A05" w:rsidRPr="005B5A05">
              <w:rPr>
                <w:rFonts w:ascii="標楷體" w:eastAsia="標楷體" w:hAnsi="標楷體" w:cs="Times New Roman" w:hint="eastAsia"/>
                <w:b/>
                <w:sz w:val="28"/>
                <w:szCs w:val="28"/>
              </w:rPr>
              <w:t>在工期展延簽辦過程中，機關皆會要求承包商放棄其他的請求權利，但是一開始承包商通常會配合，往往卻於工程結束後向機關要求求</w:t>
            </w:r>
            <w:r w:rsidR="005B5A05" w:rsidRPr="005B5A05">
              <w:rPr>
                <w:rFonts w:ascii="標楷體" w:eastAsia="標楷體" w:hAnsi="標楷體" w:cs="Times New Roman" w:hint="eastAsia"/>
                <w:b/>
                <w:sz w:val="28"/>
                <w:szCs w:val="28"/>
              </w:rPr>
              <w:lastRenderedPageBreak/>
              <w:t>償，機關事前應如何處理才能避免這樣的爭議發生？</w:t>
            </w: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Default="00324721" w:rsidP="00ED114F">
            <w:pPr>
              <w:spacing w:beforeLines="50" w:before="180" w:line="0" w:lineRule="atLeast"/>
              <w:ind w:left="566" w:hangingChars="202" w:hanging="566"/>
              <w:jc w:val="both"/>
              <w:rPr>
                <w:rFonts w:ascii="標楷體" w:eastAsia="標楷體" w:hAnsi="標楷體" w:cs="Times New Roman"/>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cs="Times New Roman"/>
                <w:b/>
                <w:sz w:val="28"/>
                <w:szCs w:val="28"/>
              </w:rPr>
            </w:pPr>
          </w:p>
          <w:p w:rsidR="00324721" w:rsidRPr="00A64A39" w:rsidRDefault="00324721" w:rsidP="00ED114F">
            <w:pPr>
              <w:spacing w:beforeLines="50" w:before="180" w:line="0" w:lineRule="atLeast"/>
              <w:jc w:val="both"/>
              <w:rPr>
                <w:rFonts w:ascii="標楷體" w:eastAsia="標楷體" w:hAnsi="標楷體"/>
              </w:rPr>
            </w:pPr>
          </w:p>
        </w:tc>
        <w:tc>
          <w:tcPr>
            <w:tcW w:w="4181" w:type="dxa"/>
          </w:tcPr>
          <w:p w:rsidR="005B5A05" w:rsidRPr="005B5A05" w:rsidRDefault="005B5A05" w:rsidP="002E4EB0">
            <w:pPr>
              <w:spacing w:beforeLines="50" w:before="180" w:line="276" w:lineRule="auto"/>
              <w:jc w:val="both"/>
              <w:rPr>
                <w:rFonts w:ascii="標楷體" w:eastAsia="標楷體" w:hAnsi="標楷體"/>
                <w:b/>
                <w:u w:val="double"/>
              </w:rPr>
            </w:pPr>
            <w:r w:rsidRPr="005B5A05">
              <w:rPr>
                <w:rFonts w:ascii="標楷體" w:eastAsia="標楷體" w:hAnsi="標楷體" w:hint="eastAsia"/>
                <w:b/>
                <w:u w:val="double"/>
              </w:rPr>
              <w:lastRenderedPageBreak/>
              <w:t>中華民國工程法律學會理事長姚志明：</w:t>
            </w:r>
          </w:p>
          <w:p w:rsidR="002E4EB0" w:rsidRPr="002E4EB0" w:rsidRDefault="005B5A05" w:rsidP="002E4EB0">
            <w:pPr>
              <w:spacing w:beforeLines="50" w:before="180" w:line="276" w:lineRule="auto"/>
              <w:jc w:val="both"/>
              <w:rPr>
                <w:rFonts w:ascii="標楷體" w:eastAsia="標楷體" w:hAnsi="標楷體"/>
              </w:rPr>
            </w:pPr>
            <w:r w:rsidRPr="00324721">
              <w:rPr>
                <w:rFonts w:ascii="標楷體" w:eastAsia="標楷體" w:hAnsi="標楷體" w:hint="eastAsia"/>
              </w:rPr>
              <w:t>仲裁實務中，工期展延原因通常係屬不可抗力之情事，亦屬雙方所不可控制與預知，實務上有不同見解，有的人認為</w:t>
            </w:r>
            <w:r w:rsidRPr="00324721">
              <w:rPr>
                <w:rFonts w:ascii="標楷體" w:eastAsia="標楷體" w:hAnsi="標楷體" w:hint="eastAsia"/>
              </w:rPr>
              <w:lastRenderedPageBreak/>
              <w:t>係風險分擔，通常係由主辦機關承擔，因施工期間所發生不可抗力之情事致生額外工程成本，卻要求承商負責，似不符公平合理原則。縱使契約文件中定明，申請工期展延不能請求其他費用，可能有違反民法第247-1條定型化契約條款因顯失公平而無效之虞。就個人的</w:t>
            </w:r>
            <w:r w:rsidR="00324721" w:rsidRPr="00324721">
              <w:rPr>
                <w:rFonts w:ascii="標楷體" w:eastAsia="標楷體" w:hAnsi="標楷體" w:hint="eastAsia"/>
              </w:rPr>
              <w:t>看法，</w:t>
            </w:r>
            <w:r w:rsidRPr="00324721">
              <w:rPr>
                <w:rFonts w:ascii="標楷體" w:eastAsia="標楷體" w:hAnsi="標楷體" w:hint="eastAsia"/>
              </w:rPr>
              <w:t>法理上</w:t>
            </w:r>
            <w:r w:rsidR="00324721" w:rsidRPr="00324721">
              <w:rPr>
                <w:rFonts w:ascii="標楷體" w:eastAsia="標楷體" w:hAnsi="標楷體" w:hint="eastAsia"/>
              </w:rPr>
              <w:t>言之，</w:t>
            </w:r>
            <w:r w:rsidRPr="00324721">
              <w:rPr>
                <w:rFonts w:ascii="標楷體" w:eastAsia="標楷體" w:hAnsi="標楷體" w:hint="eastAsia"/>
              </w:rPr>
              <w:t>機關若不承擔風險，而轉由承商承擔風險，似有不公平之處，公共工程構造物之所有權係屬國家，主辦機關應承擔風險，始得以確保民眾之公共利益。</w:t>
            </w:r>
            <w:r w:rsidR="00324721" w:rsidRPr="00324721">
              <w:rPr>
                <w:rFonts w:ascii="標楷體" w:eastAsia="標楷體" w:hAnsi="標楷體" w:hint="eastAsia"/>
              </w:rPr>
              <w:t>但</w:t>
            </w:r>
            <w:r w:rsidRPr="00324721">
              <w:rPr>
                <w:rFonts w:ascii="標楷體" w:eastAsia="標楷體" w:hAnsi="標楷體" w:hint="eastAsia"/>
              </w:rPr>
              <w:t>在仲裁實務上，因仲裁人見解不一，有採契約自由原則，即須完全遵守契約規範；有採誠信原則，風險可要求承商負擔，雖承商同意，惟承商往往係考量工期展延案能順利通過申請故也。因此，期待最高法院能做出具指標性判決，俾使承商</w:t>
            </w:r>
            <w:r w:rsidR="00324721" w:rsidRPr="00324721">
              <w:rPr>
                <w:rFonts w:ascii="標楷體" w:eastAsia="標楷體" w:hAnsi="標楷體" w:hint="eastAsia"/>
              </w:rPr>
              <w:t>及主辦機關能有預見之可能性，方有一致的作法。故仲裁案件審議中，需視仲裁人心證及個案特性，逐一檢視，始能做</w:t>
            </w:r>
            <w:r w:rsidRPr="00324721">
              <w:rPr>
                <w:rFonts w:ascii="標楷體" w:eastAsia="標楷體" w:hAnsi="標楷體" w:hint="eastAsia"/>
              </w:rPr>
              <w:t>出一個雙方都可接受之判斷。</w:t>
            </w:r>
          </w:p>
        </w:tc>
      </w:tr>
      <w:tr w:rsidR="00324721" w:rsidTr="00324721">
        <w:tc>
          <w:tcPr>
            <w:tcW w:w="4181" w:type="dxa"/>
          </w:tcPr>
          <w:p w:rsidR="00324721" w:rsidRDefault="00324721" w:rsidP="00ED114F">
            <w:pPr>
              <w:spacing w:beforeLines="50" w:before="180" w:line="0" w:lineRule="atLeast"/>
              <w:ind w:left="566" w:hangingChars="202" w:hanging="566"/>
              <w:jc w:val="both"/>
              <w:rPr>
                <w:rFonts w:ascii="標楷體" w:eastAsia="標楷體" w:hAnsi="標楷體"/>
                <w:b/>
                <w:sz w:val="28"/>
                <w:szCs w:val="28"/>
              </w:rPr>
            </w:pPr>
            <w:r>
              <w:rPr>
                <w:rFonts w:ascii="標楷體" w:eastAsia="標楷體" w:hAnsi="標楷體" w:cs="Times New Roman" w:hint="eastAsia"/>
                <w:b/>
                <w:sz w:val="28"/>
                <w:szCs w:val="28"/>
              </w:rPr>
              <w:lastRenderedPageBreak/>
              <w:t>三、</w:t>
            </w:r>
            <w:r w:rsidRPr="00057E7C">
              <w:rPr>
                <w:rFonts w:ascii="標楷體" w:eastAsia="標楷體" w:hAnsi="標楷體" w:hint="eastAsia"/>
                <w:b/>
                <w:sz w:val="28"/>
                <w:szCs w:val="28"/>
              </w:rPr>
              <w:t>契約變更文件提供</w:t>
            </w:r>
            <w:r w:rsidR="00F00AD0">
              <w:rPr>
                <w:rFonts w:ascii="標楷體" w:eastAsia="標楷體" w:hAnsi="標楷體" w:hint="eastAsia"/>
                <w:b/>
                <w:sz w:val="28"/>
                <w:szCs w:val="28"/>
              </w:rPr>
              <w:t>予</w:t>
            </w:r>
            <w:r w:rsidRPr="00057E7C">
              <w:rPr>
                <w:rFonts w:ascii="標楷體" w:eastAsia="標楷體" w:hAnsi="標楷體" w:hint="eastAsia"/>
                <w:b/>
                <w:sz w:val="28"/>
                <w:szCs w:val="28"/>
              </w:rPr>
              <w:t>承包商往往時間過短，承包商無法立即察覺設計與現況之差異，可能較容易產生履約爭議。</w:t>
            </w: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Default="002E4EB0" w:rsidP="00ED114F">
            <w:pPr>
              <w:spacing w:beforeLines="50" w:before="180" w:line="0" w:lineRule="atLeast"/>
              <w:ind w:left="566" w:hangingChars="202" w:hanging="566"/>
              <w:jc w:val="both"/>
              <w:rPr>
                <w:rFonts w:ascii="標楷體" w:eastAsia="標楷體" w:hAnsi="標楷體"/>
                <w:b/>
                <w:sz w:val="28"/>
                <w:szCs w:val="28"/>
              </w:rPr>
            </w:pPr>
          </w:p>
          <w:p w:rsidR="002E4EB0" w:rsidRPr="00324721" w:rsidRDefault="002E4EB0" w:rsidP="00ED114F">
            <w:pPr>
              <w:spacing w:beforeLines="50" w:before="180" w:line="0" w:lineRule="atLeast"/>
              <w:ind w:left="566" w:hangingChars="202" w:hanging="566"/>
              <w:jc w:val="both"/>
              <w:rPr>
                <w:rFonts w:ascii="標楷體" w:eastAsia="標楷體" w:hAnsi="標楷體" w:cs="Times New Roman"/>
                <w:b/>
                <w:sz w:val="28"/>
                <w:szCs w:val="28"/>
              </w:rPr>
            </w:pPr>
          </w:p>
        </w:tc>
        <w:tc>
          <w:tcPr>
            <w:tcW w:w="4181" w:type="dxa"/>
          </w:tcPr>
          <w:p w:rsidR="00324721" w:rsidRDefault="00324721" w:rsidP="002E4EB0">
            <w:pPr>
              <w:spacing w:beforeLines="50" w:before="180" w:line="276" w:lineRule="auto"/>
              <w:jc w:val="both"/>
              <w:rPr>
                <w:rFonts w:ascii="標楷體" w:eastAsia="標楷體" w:hAnsi="標楷體"/>
                <w:b/>
                <w:u w:val="double"/>
              </w:rPr>
            </w:pPr>
            <w:r w:rsidRPr="00324721">
              <w:rPr>
                <w:rFonts w:ascii="標楷體" w:eastAsia="標楷體" w:hAnsi="標楷體" w:hint="eastAsia"/>
                <w:b/>
                <w:u w:val="double"/>
              </w:rPr>
              <w:lastRenderedPageBreak/>
              <w:t>中華民國工程法律學會理事長姚志明：</w:t>
            </w:r>
          </w:p>
          <w:p w:rsidR="00ED114F" w:rsidRPr="002E4EB0" w:rsidRDefault="00324721" w:rsidP="002E4EB0">
            <w:pPr>
              <w:spacing w:beforeLines="50" w:before="180" w:line="276" w:lineRule="auto"/>
              <w:jc w:val="both"/>
              <w:rPr>
                <w:rFonts w:ascii="標楷體" w:eastAsia="標楷體" w:hAnsi="標楷體"/>
              </w:rPr>
            </w:pPr>
            <w:r w:rsidRPr="00324721">
              <w:rPr>
                <w:rFonts w:ascii="標楷體" w:eastAsia="標楷體" w:hAnsi="標楷體" w:hint="eastAsia"/>
              </w:rPr>
              <w:t>契約成立後，雙方當事人權利義務已確立，法律上，僅有情事變更，方可增加(減)給付，或者，契約條款有顯失公平，約定當然無效。通常情形下，契約成立後，因前述兩個狀況而需變更契約內容，並不容易。參酌民法第148條第2項之規定，依照契約，機關行使權利</w:t>
            </w:r>
            <w:r w:rsidRPr="00324721">
              <w:rPr>
                <w:rFonts w:ascii="標楷體" w:eastAsia="標楷體" w:hAnsi="標楷體" w:hint="eastAsia"/>
              </w:rPr>
              <w:lastRenderedPageBreak/>
              <w:t>應依誠實及信用之方法為之，否則不得行使權</w:t>
            </w:r>
            <w:r>
              <w:rPr>
                <w:rFonts w:ascii="標楷體" w:eastAsia="標楷體" w:hAnsi="標楷體" w:hint="eastAsia"/>
              </w:rPr>
              <w:t>利，建議機關</w:t>
            </w:r>
            <w:r w:rsidRPr="00324721">
              <w:rPr>
                <w:rFonts w:ascii="標楷體" w:eastAsia="標楷體" w:hAnsi="標楷體" w:hint="eastAsia"/>
              </w:rPr>
              <w:t>延長辦理契約變更之作業時程，得指示承包商先行施作，惟增加議約之時間，問題釐清後再依程序完成契約變更，對契約雙方較有保障。綜上所述，契約成立後若要調整契約內容並非容易，目前民法上只有兩種可能性，一是該條文顯失公平宣告條文無效(民法第247-1條參照)，另外一種是主張情事變更(民法148條第2項參照)</w:t>
            </w:r>
            <w:r>
              <w:rPr>
                <w:rFonts w:ascii="標楷體" w:eastAsia="標楷體" w:hAnsi="標楷體" w:hint="eastAsia"/>
              </w:rPr>
              <w:t>。故建議</w:t>
            </w:r>
            <w:r w:rsidRPr="00324721">
              <w:rPr>
                <w:rFonts w:ascii="標楷體" w:eastAsia="標楷體" w:hAnsi="標楷體" w:hint="eastAsia"/>
              </w:rPr>
              <w:t>機關與承商間應充分溝通協調，如有辦理契約變更之必要，務必思考增加議約時間之必要性，以確保雙方</w:t>
            </w:r>
            <w:r>
              <w:rPr>
                <w:rFonts w:ascii="標楷體" w:eastAsia="標楷體" w:hAnsi="標楷體" w:hint="eastAsia"/>
              </w:rPr>
              <w:t>之</w:t>
            </w:r>
            <w:r w:rsidRPr="00324721">
              <w:rPr>
                <w:rFonts w:ascii="標楷體" w:eastAsia="標楷體" w:hAnsi="標楷體" w:hint="eastAsia"/>
              </w:rPr>
              <w:t>權利義務。</w:t>
            </w:r>
          </w:p>
        </w:tc>
      </w:tr>
      <w:tr w:rsidR="00324721" w:rsidTr="00324721">
        <w:tc>
          <w:tcPr>
            <w:tcW w:w="4181" w:type="dxa"/>
          </w:tcPr>
          <w:p w:rsidR="00ED114F" w:rsidRDefault="00ED114F" w:rsidP="00ED114F">
            <w:pPr>
              <w:spacing w:line="0" w:lineRule="atLeast"/>
              <w:ind w:left="561" w:hangingChars="200" w:hanging="561"/>
              <w:jc w:val="both"/>
              <w:rPr>
                <w:rFonts w:ascii="標楷體" w:eastAsia="標楷體" w:hAnsi="標楷體"/>
                <w:b/>
                <w:sz w:val="28"/>
                <w:szCs w:val="28"/>
              </w:rPr>
            </w:pPr>
            <w:r>
              <w:rPr>
                <w:rFonts w:ascii="標楷體" w:eastAsia="標楷體" w:hAnsi="標楷體" w:cs="Times New Roman" w:hint="eastAsia"/>
                <w:b/>
                <w:sz w:val="28"/>
                <w:szCs w:val="28"/>
              </w:rPr>
              <w:lastRenderedPageBreak/>
              <w:t>四</w:t>
            </w:r>
            <w:r w:rsidRPr="00ED114F">
              <w:rPr>
                <w:rFonts w:ascii="標楷體" w:eastAsia="標楷體" w:hAnsi="標楷體" w:cs="Times New Roman" w:hint="eastAsia"/>
                <w:b/>
                <w:sz w:val="28"/>
                <w:szCs w:val="28"/>
              </w:rPr>
              <w:t>、</w:t>
            </w:r>
            <w:r w:rsidRPr="00ED114F">
              <w:rPr>
                <w:rFonts w:ascii="標楷體" w:eastAsia="標楷體" w:hAnsi="標楷體" w:hint="eastAsia"/>
                <w:b/>
                <w:sz w:val="28"/>
                <w:szCs w:val="28"/>
              </w:rPr>
              <w:t>契約變更尚含有原契約工作項目及新增工項，原契約工項按契約單價給付較無爭議，惟新增工項，常因承商於接獲變更通知後即進場施工，而新增工項之預算編列及議價，常於施工完成後方進行，致常造成所編預算與承商發生成本不符，而議價不成，致造成爭議。</w:t>
            </w:r>
            <w:r>
              <w:rPr>
                <w:rFonts w:ascii="標楷體" w:eastAsia="標楷體" w:hAnsi="標楷體" w:hint="eastAsia"/>
                <w:b/>
                <w:sz w:val="28"/>
                <w:szCs w:val="28"/>
              </w:rPr>
              <w:t>故</w:t>
            </w:r>
            <w:r w:rsidRPr="00ED114F">
              <w:rPr>
                <w:rFonts w:ascii="標楷體" w:eastAsia="標楷體" w:hAnsi="標楷體" w:hint="eastAsia"/>
                <w:b/>
                <w:sz w:val="28"/>
                <w:szCs w:val="28"/>
              </w:rPr>
              <w:t>辦理變更過程中，</w:t>
            </w:r>
            <w:r>
              <w:rPr>
                <w:rFonts w:ascii="標楷體" w:eastAsia="標楷體" w:hAnsi="標楷體" w:hint="eastAsia"/>
                <w:b/>
                <w:sz w:val="28"/>
                <w:szCs w:val="28"/>
              </w:rPr>
              <w:t>要如何避免爭議？</w:t>
            </w:r>
          </w:p>
          <w:p w:rsidR="00ED114F" w:rsidRDefault="00ED114F"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Default="002E4EB0" w:rsidP="00ED114F">
            <w:pPr>
              <w:spacing w:line="0" w:lineRule="atLeast"/>
              <w:rPr>
                <w:rFonts w:ascii="標楷體" w:eastAsia="標楷體" w:hAnsi="標楷體"/>
                <w:b/>
                <w:sz w:val="28"/>
                <w:szCs w:val="28"/>
              </w:rPr>
            </w:pPr>
          </w:p>
          <w:p w:rsidR="002E4EB0" w:rsidRPr="00ED114F" w:rsidRDefault="002E4EB0" w:rsidP="00ED114F">
            <w:pPr>
              <w:spacing w:line="0" w:lineRule="atLeast"/>
              <w:rPr>
                <w:rFonts w:ascii="標楷體" w:eastAsia="標楷體" w:hAnsi="標楷體"/>
                <w:b/>
                <w:sz w:val="28"/>
                <w:szCs w:val="28"/>
              </w:rPr>
            </w:pPr>
          </w:p>
        </w:tc>
        <w:tc>
          <w:tcPr>
            <w:tcW w:w="4181" w:type="dxa"/>
          </w:tcPr>
          <w:p w:rsidR="00ED114F" w:rsidRPr="00ED114F" w:rsidRDefault="00ED114F" w:rsidP="0062141A">
            <w:pPr>
              <w:spacing w:line="276" w:lineRule="auto"/>
              <w:jc w:val="both"/>
              <w:rPr>
                <w:rFonts w:ascii="標楷體" w:eastAsia="標楷體" w:hAnsi="標楷體"/>
                <w:b/>
                <w:u w:val="double"/>
              </w:rPr>
            </w:pPr>
            <w:r>
              <w:rPr>
                <w:rFonts w:ascii="標楷體" w:eastAsia="標楷體" w:hAnsi="標楷體" w:hint="eastAsia"/>
                <w:b/>
                <w:u w:val="double"/>
              </w:rPr>
              <w:lastRenderedPageBreak/>
              <w:t>中華民國工程法律學會理事長姚志明</w:t>
            </w:r>
            <w:r w:rsidRPr="00ED114F">
              <w:rPr>
                <w:rFonts w:ascii="標楷體" w:eastAsia="標楷體" w:hAnsi="標楷體" w:hint="eastAsia"/>
                <w:b/>
                <w:u w:val="double"/>
              </w:rPr>
              <w:t>：</w:t>
            </w:r>
          </w:p>
          <w:p w:rsidR="00ED114F" w:rsidRPr="00ED114F" w:rsidRDefault="00ED114F" w:rsidP="0062141A">
            <w:pPr>
              <w:spacing w:line="276" w:lineRule="auto"/>
              <w:jc w:val="both"/>
              <w:rPr>
                <w:rFonts w:ascii="標楷體" w:eastAsia="標楷體" w:hAnsi="標楷體"/>
              </w:rPr>
            </w:pPr>
            <w:r w:rsidRPr="00ED114F">
              <w:rPr>
                <w:rFonts w:ascii="標楷體" w:eastAsia="標楷體" w:hAnsi="標楷體" w:hint="eastAsia"/>
              </w:rPr>
              <w:t>各工項單價之訂定，常因施工地點不同，參考之數值也不同，以臺北市政府為例，計價是以契約變更日為準，物價指數另訂定相關辦法，故計價應以施工日或以契約變更完成日為依據</w:t>
            </w:r>
            <w:r>
              <w:rPr>
                <w:rFonts w:ascii="標楷體" w:eastAsia="標楷體" w:hAnsi="標楷體" w:hint="eastAsia"/>
              </w:rPr>
              <w:t>，建議</w:t>
            </w:r>
            <w:r w:rsidRPr="00ED114F">
              <w:rPr>
                <w:rFonts w:ascii="標楷體" w:eastAsia="標楷體" w:hAnsi="標楷體" w:hint="eastAsia"/>
              </w:rPr>
              <w:t>參考機關業務屬性明定相關辦法以參照辦理，目前，各工程主辦機關之基準未盡相符。</w:t>
            </w:r>
          </w:p>
          <w:p w:rsidR="00ED114F" w:rsidRPr="00ED114F" w:rsidRDefault="00ED114F" w:rsidP="0062141A">
            <w:pPr>
              <w:spacing w:line="276" w:lineRule="auto"/>
              <w:jc w:val="both"/>
              <w:rPr>
                <w:rFonts w:ascii="標楷體" w:eastAsia="標楷體" w:hAnsi="標楷體"/>
                <w:b/>
                <w:u w:val="double"/>
              </w:rPr>
            </w:pPr>
            <w:r>
              <w:rPr>
                <w:rFonts w:ascii="標楷體" w:eastAsia="標楷體" w:hAnsi="標楷體" w:hint="eastAsia"/>
                <w:b/>
                <w:u w:val="double"/>
              </w:rPr>
              <w:t>國工局第一區工程處處長陳福將</w:t>
            </w:r>
            <w:r w:rsidRPr="00ED114F">
              <w:rPr>
                <w:rFonts w:ascii="標楷體" w:eastAsia="標楷體" w:hAnsi="標楷體" w:hint="eastAsia"/>
                <w:b/>
                <w:u w:val="double"/>
              </w:rPr>
              <w:t>：</w:t>
            </w:r>
          </w:p>
          <w:p w:rsidR="00ED114F" w:rsidRPr="00ED114F" w:rsidRDefault="00ED114F" w:rsidP="0062141A">
            <w:pPr>
              <w:spacing w:line="276" w:lineRule="auto"/>
              <w:jc w:val="both"/>
              <w:rPr>
                <w:rFonts w:ascii="標楷體" w:eastAsia="標楷體" w:hAnsi="標楷體"/>
              </w:rPr>
            </w:pPr>
            <w:r w:rsidRPr="00ED114F">
              <w:rPr>
                <w:rFonts w:ascii="標楷體" w:eastAsia="標楷體" w:hAnsi="標楷體" w:hint="eastAsia"/>
              </w:rPr>
              <w:t>施工期程較短之工程，鮮少有單價合議之爭議，若施工期程約莫</w:t>
            </w:r>
            <w:r w:rsidRPr="00ED114F">
              <w:rPr>
                <w:rFonts w:ascii="標楷體" w:eastAsia="標楷體" w:hAnsi="標楷體"/>
              </w:rPr>
              <w:t>3-5</w:t>
            </w:r>
            <w:r w:rsidR="006C5128">
              <w:rPr>
                <w:rFonts w:ascii="標楷體" w:eastAsia="標楷體" w:hAnsi="標楷體" w:hint="eastAsia"/>
              </w:rPr>
              <w:t>年，爭議發生機率相對提</w:t>
            </w:r>
            <w:bookmarkStart w:id="0" w:name="_GoBack"/>
            <w:bookmarkEnd w:id="0"/>
            <w:r w:rsidRPr="00ED114F">
              <w:rPr>
                <w:rFonts w:ascii="標楷體" w:eastAsia="標楷體" w:hAnsi="標楷體" w:hint="eastAsia"/>
              </w:rPr>
              <w:t>高。本處原則上係援引原單價結構，若無前例，即以訪市價訂定，施工期程延長，物價變動大，承商較常提出異議，當雙方對價格無法獲得共識，即由本處先行逕行核定，嗣承商</w:t>
            </w:r>
            <w:r w:rsidRPr="00ED114F">
              <w:rPr>
                <w:rFonts w:ascii="標楷體" w:eastAsia="標楷體" w:hAnsi="標楷體" w:hint="eastAsia"/>
              </w:rPr>
              <w:lastRenderedPageBreak/>
              <w:t>循爭議調處方式尋求解決。請問，若從仲裁實務之角度來看，歸責之比例係如何？</w:t>
            </w:r>
          </w:p>
          <w:p w:rsidR="00ED114F" w:rsidRPr="00ED114F" w:rsidRDefault="00ED114F" w:rsidP="0062141A">
            <w:pPr>
              <w:spacing w:line="276" w:lineRule="auto"/>
              <w:jc w:val="both"/>
              <w:rPr>
                <w:rFonts w:ascii="標楷體" w:eastAsia="標楷體" w:hAnsi="標楷體"/>
                <w:b/>
                <w:u w:val="double"/>
              </w:rPr>
            </w:pPr>
            <w:r>
              <w:rPr>
                <w:rFonts w:ascii="標楷體" w:eastAsia="標楷體" w:hAnsi="標楷體" w:hint="eastAsia"/>
                <w:b/>
                <w:u w:val="double"/>
              </w:rPr>
              <w:t>中華民國工程法律學會理事長姚志明</w:t>
            </w:r>
            <w:r w:rsidRPr="00ED114F">
              <w:rPr>
                <w:rFonts w:ascii="標楷體" w:eastAsia="標楷體" w:hAnsi="標楷體" w:hint="eastAsia"/>
                <w:b/>
                <w:u w:val="double"/>
              </w:rPr>
              <w:t>：</w:t>
            </w:r>
          </w:p>
          <w:p w:rsidR="00ED114F" w:rsidRPr="002E4EB0" w:rsidRDefault="00ED114F" w:rsidP="0062141A">
            <w:pPr>
              <w:spacing w:line="276" w:lineRule="auto"/>
              <w:jc w:val="both"/>
              <w:rPr>
                <w:rFonts w:ascii="標楷體" w:eastAsia="標楷體" w:hAnsi="標楷體"/>
              </w:rPr>
            </w:pPr>
            <w:r w:rsidRPr="00ED114F">
              <w:rPr>
                <w:rFonts w:ascii="標楷體" w:eastAsia="標楷體" w:hAnsi="標楷體" w:hint="eastAsia"/>
              </w:rPr>
              <w:t>類此案件存有很大之差異性，端視具體案例內容是如何始得以判斷。仲裁結果並無絕對答案，綜覽所有資料，個案過程發展以及資訊公開程度，若將相關資訊公開，包括契約變更所採標準均予公告，承商就需承擔較大風險；反之，如相關資訊承商均毫無所悉，承商將得以免於承擔該風險。因此，仲裁過程中需將佐證資料逐一檢驗，依個案判斷，尚無法一概而論。</w:t>
            </w:r>
          </w:p>
        </w:tc>
      </w:tr>
      <w:tr w:rsidR="002E4EB0" w:rsidTr="002E4EB0">
        <w:tc>
          <w:tcPr>
            <w:tcW w:w="4181" w:type="dxa"/>
          </w:tcPr>
          <w:p w:rsidR="002E4EB0" w:rsidRDefault="002E4EB0" w:rsidP="002E4EB0">
            <w:pPr>
              <w:spacing w:line="0" w:lineRule="atLeast"/>
              <w:ind w:left="561" w:hangingChars="200" w:hanging="561"/>
              <w:jc w:val="both"/>
              <w:rPr>
                <w:rFonts w:ascii="標楷體" w:eastAsia="標楷體" w:hAnsi="標楷體"/>
                <w:b/>
                <w:sz w:val="28"/>
                <w:szCs w:val="28"/>
              </w:rPr>
            </w:pPr>
            <w:r w:rsidRPr="002E4EB0">
              <w:rPr>
                <w:rFonts w:ascii="標楷體" w:eastAsia="標楷體" w:hAnsi="標楷體" w:hint="eastAsia"/>
                <w:b/>
                <w:sz w:val="28"/>
                <w:szCs w:val="28"/>
              </w:rPr>
              <w:lastRenderedPageBreak/>
              <w:t xml:space="preserve">五、非可歸責承商之原由造成之延滯，其工期計算之依據？ </w:t>
            </w:r>
            <w:r>
              <w:rPr>
                <w:rFonts w:ascii="標楷體" w:eastAsia="標楷體" w:hAnsi="標楷體" w:hint="eastAsia"/>
                <w:b/>
                <w:sz w:val="28"/>
                <w:szCs w:val="28"/>
              </w:rPr>
              <w:t>像是</w:t>
            </w:r>
            <w:r w:rsidRPr="002E4EB0">
              <w:rPr>
                <w:rFonts w:ascii="標楷體" w:eastAsia="標楷體" w:hAnsi="標楷體" w:hint="eastAsia"/>
                <w:b/>
                <w:sz w:val="28"/>
                <w:szCs w:val="28"/>
              </w:rPr>
              <w:t>一般工期展延都參考承商所排定之施工計畫網圖計算，惟該網圖非契約規定之文件，又承商延滯所造成之有效理由其所耗之期間為明確，故其展延工期之計算應以何為依據。</w:t>
            </w:r>
          </w:p>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p w:rsidR="002E4EB0" w:rsidRDefault="002E4EB0" w:rsidP="000B6615"/>
        </w:tc>
        <w:tc>
          <w:tcPr>
            <w:tcW w:w="4181" w:type="dxa"/>
          </w:tcPr>
          <w:p w:rsidR="002E4EB0" w:rsidRPr="002E4EB0" w:rsidRDefault="002E4EB0" w:rsidP="0062141A">
            <w:pPr>
              <w:spacing w:line="276" w:lineRule="auto"/>
              <w:jc w:val="both"/>
              <w:rPr>
                <w:rFonts w:ascii="標楷體" w:eastAsia="標楷體" w:hAnsi="標楷體"/>
                <w:b/>
                <w:u w:val="double"/>
              </w:rPr>
            </w:pPr>
            <w:r>
              <w:rPr>
                <w:rFonts w:ascii="標楷體" w:eastAsia="標楷體" w:hAnsi="標楷體" w:hint="eastAsia"/>
                <w:b/>
                <w:u w:val="double"/>
              </w:rPr>
              <w:lastRenderedPageBreak/>
              <w:t>中華民國工程法律學會理事長姚志明</w:t>
            </w:r>
            <w:r w:rsidRPr="002E4EB0">
              <w:rPr>
                <w:rFonts w:ascii="標楷體" w:eastAsia="標楷體" w:hAnsi="標楷體" w:hint="eastAsia"/>
                <w:b/>
                <w:u w:val="double"/>
              </w:rPr>
              <w:t>：</w:t>
            </w:r>
          </w:p>
          <w:p w:rsidR="002E4EB0" w:rsidRPr="002E4EB0" w:rsidRDefault="002E4EB0" w:rsidP="0062141A">
            <w:pPr>
              <w:spacing w:line="276" w:lineRule="auto"/>
              <w:jc w:val="both"/>
              <w:rPr>
                <w:rFonts w:ascii="標楷體" w:eastAsia="標楷體" w:hAnsi="標楷體"/>
              </w:rPr>
            </w:pPr>
            <w:r w:rsidRPr="002E4EB0">
              <w:rPr>
                <w:rFonts w:ascii="標楷體" w:eastAsia="標楷體" w:hAnsi="標楷體" w:hint="eastAsia"/>
              </w:rPr>
              <w:t>有關不可歸責承商之事由造成之延滯，工期計算天數，係參考</w:t>
            </w:r>
            <w:r w:rsidRPr="002E4EB0">
              <w:rPr>
                <w:rFonts w:ascii="標楷體" w:eastAsia="標楷體" w:hAnsi="標楷體"/>
              </w:rPr>
              <w:t>P3</w:t>
            </w:r>
            <w:r w:rsidRPr="002E4EB0">
              <w:rPr>
                <w:rFonts w:ascii="標楷體" w:eastAsia="標楷體" w:hAnsi="標楷體" w:hint="eastAsia"/>
              </w:rPr>
              <w:t>網圖要徑，在仲裁實務上，將原預定要徑與實際發生情況計算比對，確認有無真正影響並據以計算工期。舉例來說，因豪雨因素，造成某工項未達預定進度，依要徑需提供工期，但以實際進度而言，並未增加額外工期。故難以因不可歸責承商所造成之延滯就增加工期，宜個案判斷有無實際影響，依據影響程度，作為計算工期之準據。</w:t>
            </w:r>
          </w:p>
          <w:p w:rsidR="002E4EB0" w:rsidRPr="002E4EB0" w:rsidRDefault="002E4EB0" w:rsidP="0062141A">
            <w:pPr>
              <w:spacing w:line="276" w:lineRule="auto"/>
              <w:jc w:val="both"/>
              <w:rPr>
                <w:rFonts w:ascii="標楷體" w:eastAsia="標楷體" w:hAnsi="標楷體"/>
                <w:b/>
                <w:u w:val="double"/>
              </w:rPr>
            </w:pPr>
            <w:r>
              <w:rPr>
                <w:rFonts w:ascii="標楷體" w:eastAsia="標楷體" w:hAnsi="標楷體" w:hint="eastAsia"/>
                <w:b/>
                <w:u w:val="double"/>
              </w:rPr>
              <w:t>國工局第一區工程處處長陳福將</w:t>
            </w:r>
            <w:r w:rsidRPr="002E4EB0">
              <w:rPr>
                <w:rFonts w:ascii="標楷體" w:eastAsia="標楷體" w:hAnsi="標楷體" w:hint="eastAsia"/>
                <w:b/>
                <w:u w:val="double"/>
              </w:rPr>
              <w:t>：</w:t>
            </w:r>
          </w:p>
          <w:p w:rsidR="002E4EB0" w:rsidRPr="002E4EB0" w:rsidRDefault="002E4EB0" w:rsidP="0062141A">
            <w:pPr>
              <w:spacing w:line="276" w:lineRule="auto"/>
              <w:jc w:val="both"/>
              <w:rPr>
                <w:rFonts w:ascii="標楷體" w:eastAsia="標楷體" w:hAnsi="標楷體"/>
              </w:rPr>
            </w:pPr>
            <w:r w:rsidRPr="002E4EB0">
              <w:rPr>
                <w:rFonts w:ascii="標楷體" w:eastAsia="標楷體" w:hAnsi="標楷體" w:hint="eastAsia"/>
              </w:rPr>
              <w:t>基本上，所謂的</w:t>
            </w:r>
            <w:r w:rsidRPr="002E4EB0">
              <w:rPr>
                <w:rFonts w:ascii="標楷體" w:eastAsia="標楷體" w:hAnsi="標楷體"/>
              </w:rPr>
              <w:t>P3</w:t>
            </w:r>
            <w:r w:rsidRPr="002E4EB0">
              <w:rPr>
                <w:rFonts w:ascii="標楷體" w:eastAsia="標楷體" w:hAnsi="標楷體" w:hint="eastAsia"/>
              </w:rPr>
              <w:t>網圖係屬契約文件之一，因該文件乃雙方共同提出，屬雙方合意的文件，因此認定為契約文件。</w:t>
            </w:r>
            <w:r w:rsidRPr="002E4EB0">
              <w:rPr>
                <w:rFonts w:ascii="標楷體" w:eastAsia="標楷體" w:hAnsi="標楷體" w:hint="eastAsia"/>
              </w:rPr>
              <w:lastRenderedPageBreak/>
              <w:t>該文件在工程實務上作為發生實質展延之認定結果，目前仍慣用</w:t>
            </w:r>
            <w:r w:rsidRPr="002E4EB0">
              <w:rPr>
                <w:rFonts w:ascii="標楷體" w:eastAsia="標楷體" w:hAnsi="標楷體"/>
              </w:rPr>
              <w:t>P3</w:t>
            </w:r>
            <w:r w:rsidRPr="002E4EB0">
              <w:rPr>
                <w:rFonts w:ascii="標楷體" w:eastAsia="標楷體" w:hAnsi="標楷體" w:hint="eastAsia"/>
              </w:rPr>
              <w:t>網圖作為認定是否為要徑，及應展延天數之判斷基準。</w:t>
            </w:r>
          </w:p>
          <w:p w:rsidR="002E4EB0" w:rsidRPr="002E4EB0" w:rsidRDefault="002E4EB0" w:rsidP="0062141A">
            <w:pPr>
              <w:spacing w:line="276" w:lineRule="auto"/>
              <w:jc w:val="both"/>
              <w:rPr>
                <w:rFonts w:ascii="標楷體" w:eastAsia="標楷體" w:hAnsi="標楷體"/>
                <w:b/>
                <w:u w:val="double"/>
              </w:rPr>
            </w:pPr>
            <w:r>
              <w:rPr>
                <w:rFonts w:ascii="標楷體" w:eastAsia="標楷體" w:hAnsi="標楷體" w:hint="eastAsia"/>
                <w:b/>
                <w:u w:val="double"/>
              </w:rPr>
              <w:t>中華民國工程法律學會理事長姚志明</w:t>
            </w:r>
            <w:r w:rsidRPr="002E4EB0">
              <w:rPr>
                <w:rFonts w:ascii="標楷體" w:eastAsia="標楷體" w:hAnsi="標楷體" w:hint="eastAsia"/>
                <w:b/>
                <w:u w:val="double"/>
              </w:rPr>
              <w:t>：</w:t>
            </w:r>
          </w:p>
          <w:p w:rsidR="002E4EB0" w:rsidRPr="002E4EB0" w:rsidRDefault="002E4EB0" w:rsidP="0062141A">
            <w:pPr>
              <w:spacing w:line="276" w:lineRule="auto"/>
              <w:jc w:val="both"/>
              <w:rPr>
                <w:rFonts w:ascii="標楷體" w:eastAsia="標楷體" w:hAnsi="標楷體"/>
              </w:rPr>
            </w:pPr>
            <w:r w:rsidRPr="002E4EB0">
              <w:rPr>
                <w:rFonts w:ascii="標楷體" w:eastAsia="標楷體" w:hAnsi="標楷體" w:hint="eastAsia"/>
              </w:rPr>
              <w:t>仲裁實務上，陳述意見時，應說明該工項是否須納入要徑考量因素並提出證據，仲裁人始得據以綜合判斷具體個案，否則若不陳述相關工項情形，將不被納入考量，得不償失。另有關民法與有過失之相關規定</w:t>
            </w:r>
            <w:r w:rsidRPr="002E4EB0">
              <w:rPr>
                <w:rFonts w:ascii="標楷體" w:eastAsia="標楷體" w:hAnsi="標楷體"/>
              </w:rPr>
              <w:t>(</w:t>
            </w:r>
            <w:r w:rsidRPr="002E4EB0">
              <w:rPr>
                <w:rFonts w:ascii="標楷體" w:eastAsia="標楷體" w:hAnsi="標楷體" w:hint="eastAsia"/>
              </w:rPr>
              <w:t>民法第</w:t>
            </w:r>
            <w:r w:rsidRPr="002E4EB0">
              <w:rPr>
                <w:rFonts w:ascii="標楷體" w:eastAsia="標楷體" w:hAnsi="標楷體"/>
              </w:rPr>
              <w:t>217</w:t>
            </w:r>
            <w:r w:rsidRPr="002E4EB0">
              <w:rPr>
                <w:rFonts w:ascii="標楷體" w:eastAsia="標楷體" w:hAnsi="標楷體" w:hint="eastAsia"/>
              </w:rPr>
              <w:t>條參照</w:t>
            </w:r>
            <w:r w:rsidRPr="002E4EB0">
              <w:rPr>
                <w:rFonts w:ascii="標楷體" w:eastAsia="標楷體" w:hAnsi="標楷體"/>
              </w:rPr>
              <w:t>)</w:t>
            </w:r>
            <w:r w:rsidRPr="002E4EB0">
              <w:rPr>
                <w:rFonts w:ascii="標楷體" w:eastAsia="標楷體" w:hAnsi="標楷體" w:hint="eastAsia"/>
              </w:rPr>
              <w:t>，若承商提出非可歸責自己之原由造成之延滯，機關審核後認為該工項非要徑不予採納，案經仲裁人否決，則機關可能會被認定有過失責任。</w:t>
            </w:r>
          </w:p>
          <w:p w:rsidR="002E4EB0" w:rsidRPr="002E4EB0" w:rsidRDefault="002E4EB0" w:rsidP="0062141A">
            <w:pPr>
              <w:spacing w:line="276" w:lineRule="auto"/>
              <w:jc w:val="both"/>
              <w:rPr>
                <w:rFonts w:ascii="標楷體" w:eastAsia="標楷體" w:hAnsi="標楷體"/>
                <w:b/>
                <w:u w:val="double"/>
              </w:rPr>
            </w:pPr>
            <w:r>
              <w:rPr>
                <w:rFonts w:ascii="標楷體" w:eastAsia="標楷體" w:hAnsi="標楷體" w:hint="eastAsia"/>
                <w:b/>
                <w:u w:val="double"/>
              </w:rPr>
              <w:t>國工局第一區工程處五股工務所主任陳金文</w:t>
            </w:r>
            <w:r w:rsidRPr="002E4EB0">
              <w:rPr>
                <w:rFonts w:ascii="標楷體" w:eastAsia="標楷體" w:hAnsi="標楷體" w:hint="eastAsia"/>
                <w:b/>
                <w:u w:val="double"/>
              </w:rPr>
              <w:t>：</w:t>
            </w:r>
          </w:p>
          <w:p w:rsidR="002E4EB0" w:rsidRPr="002E4EB0" w:rsidRDefault="002E4EB0" w:rsidP="0062141A">
            <w:pPr>
              <w:spacing w:line="276" w:lineRule="auto"/>
              <w:jc w:val="both"/>
              <w:rPr>
                <w:rFonts w:ascii="標楷體" w:eastAsia="標楷體" w:hAnsi="標楷體"/>
              </w:rPr>
            </w:pPr>
            <w:r w:rsidRPr="002E4EB0">
              <w:rPr>
                <w:rFonts w:ascii="標楷體" w:eastAsia="標楷體" w:hAnsi="標楷體" w:hint="eastAsia"/>
              </w:rPr>
              <w:t>經驗上，工期展延有兩個狀況，一個是直接參考網圖要徑作業上所受影響，另一則是依據實際現場工作所受影響。</w:t>
            </w:r>
          </w:p>
          <w:p w:rsidR="002E4EB0" w:rsidRPr="002E4EB0" w:rsidRDefault="002E4EB0" w:rsidP="0062141A">
            <w:pPr>
              <w:spacing w:line="276" w:lineRule="auto"/>
              <w:jc w:val="both"/>
              <w:rPr>
                <w:rFonts w:ascii="標楷體" w:eastAsia="標楷體" w:hAnsi="標楷體"/>
                <w:b/>
                <w:u w:val="double"/>
              </w:rPr>
            </w:pPr>
            <w:r>
              <w:rPr>
                <w:rFonts w:ascii="標楷體" w:eastAsia="標楷體" w:hAnsi="標楷體" w:hint="eastAsia"/>
                <w:b/>
                <w:u w:val="double"/>
              </w:rPr>
              <w:t>中華民國工程法律學會理事長姚志明</w:t>
            </w:r>
            <w:r w:rsidRPr="002E4EB0">
              <w:rPr>
                <w:rFonts w:ascii="標楷體" w:eastAsia="標楷體" w:hAnsi="標楷體" w:hint="eastAsia"/>
                <w:b/>
                <w:u w:val="double"/>
              </w:rPr>
              <w:t>：</w:t>
            </w:r>
          </w:p>
          <w:p w:rsidR="002E4EB0" w:rsidRDefault="002E4EB0" w:rsidP="0062141A">
            <w:pPr>
              <w:pStyle w:val="aa"/>
              <w:spacing w:line="276" w:lineRule="auto"/>
              <w:jc w:val="both"/>
            </w:pPr>
            <w:r w:rsidRPr="002E4EB0">
              <w:rPr>
                <w:rFonts w:hint="eastAsia"/>
              </w:rPr>
              <w:t>仲裁精神，最主要目的是考量公平合理，所有因素皆會納入審酌，包含受影響及不受影響之因素均應提供予仲裁人知悉，並且舉證，以利仲裁人綜合評估具體個案。無論是網圖作業上之模式，或是實際現場工作之影響，最後均能交叉比對得出一個比較合理之結論。</w:t>
            </w:r>
          </w:p>
          <w:p w:rsidR="002E4EB0" w:rsidRDefault="002E4EB0" w:rsidP="002E4EB0">
            <w:pPr>
              <w:pStyle w:val="ac"/>
              <w:spacing w:line="276" w:lineRule="auto"/>
              <w:ind w:left="4320"/>
            </w:pPr>
          </w:p>
        </w:tc>
      </w:tr>
    </w:tbl>
    <w:p w:rsidR="00A64A39" w:rsidRPr="000B6615" w:rsidRDefault="00A64A39" w:rsidP="000B6615"/>
    <w:sectPr w:rsidR="00A64A39" w:rsidRPr="000B6615" w:rsidSect="00154364">
      <w:type w:val="continuous"/>
      <w:pgSz w:w="11906" w:h="16838"/>
      <w:pgMar w:top="1440" w:right="1800" w:bottom="1440" w:left="1800"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D7" w:rsidRDefault="003B1DD7" w:rsidP="006E7852">
      <w:r>
        <w:separator/>
      </w:r>
    </w:p>
  </w:endnote>
  <w:endnote w:type="continuationSeparator" w:id="0">
    <w:p w:rsidR="003B1DD7" w:rsidRDefault="003B1DD7" w:rsidP="006E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650892"/>
      <w:docPartObj>
        <w:docPartGallery w:val="Page Numbers (Bottom of Page)"/>
        <w:docPartUnique/>
      </w:docPartObj>
    </w:sdtPr>
    <w:sdtEndPr/>
    <w:sdtContent>
      <w:p w:rsidR="00154364" w:rsidRDefault="00154364">
        <w:pPr>
          <w:pStyle w:val="a7"/>
          <w:jc w:val="center"/>
        </w:pPr>
        <w:r>
          <w:fldChar w:fldCharType="begin"/>
        </w:r>
        <w:r>
          <w:instrText>PAGE   \* MERGEFORMAT</w:instrText>
        </w:r>
        <w:r>
          <w:fldChar w:fldCharType="separate"/>
        </w:r>
        <w:r w:rsidR="006C5128" w:rsidRPr="006C5128">
          <w:rPr>
            <w:noProof/>
            <w:lang w:val="zh-TW"/>
          </w:rPr>
          <w:t>6</w:t>
        </w:r>
        <w:r>
          <w:fldChar w:fldCharType="end"/>
        </w:r>
      </w:p>
    </w:sdtContent>
  </w:sdt>
  <w:p w:rsidR="00A66F63" w:rsidRDefault="00A66F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D7" w:rsidRDefault="003B1DD7" w:rsidP="006E7852">
      <w:r>
        <w:separator/>
      </w:r>
    </w:p>
  </w:footnote>
  <w:footnote w:type="continuationSeparator" w:id="0">
    <w:p w:rsidR="003B1DD7" w:rsidRDefault="003B1DD7" w:rsidP="006E7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BD8"/>
    <w:multiLevelType w:val="hybridMultilevel"/>
    <w:tmpl w:val="D79062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8401B7"/>
    <w:multiLevelType w:val="hybridMultilevel"/>
    <w:tmpl w:val="613CC700"/>
    <w:lvl w:ilvl="0" w:tplc="7450A8F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A42FE3"/>
    <w:multiLevelType w:val="hybridMultilevel"/>
    <w:tmpl w:val="A9023E14"/>
    <w:lvl w:ilvl="0" w:tplc="E1204A1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0B2B09"/>
    <w:multiLevelType w:val="hybridMultilevel"/>
    <w:tmpl w:val="756081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39"/>
    <w:rsid w:val="00051FE6"/>
    <w:rsid w:val="0005639C"/>
    <w:rsid w:val="000657E1"/>
    <w:rsid w:val="00070DDD"/>
    <w:rsid w:val="0007667C"/>
    <w:rsid w:val="000911EE"/>
    <w:rsid w:val="000B2E6B"/>
    <w:rsid w:val="000B6615"/>
    <w:rsid w:val="001103A9"/>
    <w:rsid w:val="001342EE"/>
    <w:rsid w:val="0013442D"/>
    <w:rsid w:val="001412E6"/>
    <w:rsid w:val="00154364"/>
    <w:rsid w:val="001908B4"/>
    <w:rsid w:val="001B5D11"/>
    <w:rsid w:val="001E4582"/>
    <w:rsid w:val="002070B1"/>
    <w:rsid w:val="00214D90"/>
    <w:rsid w:val="00230828"/>
    <w:rsid w:val="00243D34"/>
    <w:rsid w:val="002560E7"/>
    <w:rsid w:val="002601B4"/>
    <w:rsid w:val="00261CDF"/>
    <w:rsid w:val="00273553"/>
    <w:rsid w:val="0027557D"/>
    <w:rsid w:val="00295542"/>
    <w:rsid w:val="002A0C7D"/>
    <w:rsid w:val="002B75C2"/>
    <w:rsid w:val="002D4360"/>
    <w:rsid w:val="002E4EB0"/>
    <w:rsid w:val="002F6D16"/>
    <w:rsid w:val="002F7500"/>
    <w:rsid w:val="00301D29"/>
    <w:rsid w:val="00304CCB"/>
    <w:rsid w:val="00324721"/>
    <w:rsid w:val="0032654A"/>
    <w:rsid w:val="003437F2"/>
    <w:rsid w:val="00370A80"/>
    <w:rsid w:val="003731C1"/>
    <w:rsid w:val="003807F8"/>
    <w:rsid w:val="0038496C"/>
    <w:rsid w:val="003A0F89"/>
    <w:rsid w:val="003B1DD7"/>
    <w:rsid w:val="003C491C"/>
    <w:rsid w:val="00402AAB"/>
    <w:rsid w:val="00405D6C"/>
    <w:rsid w:val="004413B1"/>
    <w:rsid w:val="004432C4"/>
    <w:rsid w:val="00467E62"/>
    <w:rsid w:val="00470B0B"/>
    <w:rsid w:val="00497ECE"/>
    <w:rsid w:val="005250B8"/>
    <w:rsid w:val="005B5A05"/>
    <w:rsid w:val="005E5FA6"/>
    <w:rsid w:val="0062141A"/>
    <w:rsid w:val="00634170"/>
    <w:rsid w:val="0063699B"/>
    <w:rsid w:val="00645A16"/>
    <w:rsid w:val="00662C23"/>
    <w:rsid w:val="00664243"/>
    <w:rsid w:val="00687B9F"/>
    <w:rsid w:val="006B4E05"/>
    <w:rsid w:val="006C5128"/>
    <w:rsid w:val="006E7852"/>
    <w:rsid w:val="0077183E"/>
    <w:rsid w:val="007B088A"/>
    <w:rsid w:val="007B33D8"/>
    <w:rsid w:val="007D2E21"/>
    <w:rsid w:val="00811807"/>
    <w:rsid w:val="008174DE"/>
    <w:rsid w:val="00846F00"/>
    <w:rsid w:val="00874712"/>
    <w:rsid w:val="00894955"/>
    <w:rsid w:val="008C5523"/>
    <w:rsid w:val="008C67FC"/>
    <w:rsid w:val="008C6D32"/>
    <w:rsid w:val="008F2F0C"/>
    <w:rsid w:val="00906F64"/>
    <w:rsid w:val="009824A4"/>
    <w:rsid w:val="00992E02"/>
    <w:rsid w:val="009967DB"/>
    <w:rsid w:val="009A1E25"/>
    <w:rsid w:val="009C4A7A"/>
    <w:rsid w:val="009E73A4"/>
    <w:rsid w:val="009E7490"/>
    <w:rsid w:val="009E7583"/>
    <w:rsid w:val="00A0264F"/>
    <w:rsid w:val="00A64A39"/>
    <w:rsid w:val="00A66F63"/>
    <w:rsid w:val="00A8712C"/>
    <w:rsid w:val="00AA5195"/>
    <w:rsid w:val="00AD52CD"/>
    <w:rsid w:val="00B05B20"/>
    <w:rsid w:val="00B74165"/>
    <w:rsid w:val="00BC16F2"/>
    <w:rsid w:val="00BD2143"/>
    <w:rsid w:val="00BD4FE9"/>
    <w:rsid w:val="00C22F81"/>
    <w:rsid w:val="00C263C5"/>
    <w:rsid w:val="00C26F9D"/>
    <w:rsid w:val="00C91939"/>
    <w:rsid w:val="00CA7C6C"/>
    <w:rsid w:val="00CF1308"/>
    <w:rsid w:val="00D05D4C"/>
    <w:rsid w:val="00D419DD"/>
    <w:rsid w:val="00D57C2D"/>
    <w:rsid w:val="00D97F7F"/>
    <w:rsid w:val="00E21F85"/>
    <w:rsid w:val="00E45FCA"/>
    <w:rsid w:val="00ED114F"/>
    <w:rsid w:val="00F005EF"/>
    <w:rsid w:val="00F00AD0"/>
    <w:rsid w:val="00F24FF6"/>
    <w:rsid w:val="00F35A00"/>
    <w:rsid w:val="00F42380"/>
    <w:rsid w:val="00F9089E"/>
    <w:rsid w:val="00FA1F3A"/>
    <w:rsid w:val="00FB39FF"/>
    <w:rsid w:val="00FC5420"/>
    <w:rsid w:val="00FD23F8"/>
    <w:rsid w:val="00FD4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 w:type="paragraph" w:customStyle="1" w:styleId="a9">
    <w:name w:val="主旨"/>
    <w:basedOn w:val="a"/>
    <w:rsid w:val="00AA5195"/>
    <w:pPr>
      <w:snapToGrid w:val="0"/>
    </w:pPr>
    <w:rPr>
      <w:rFonts w:ascii="Times New Roman" w:eastAsia="標楷體" w:hAnsi="Times New Roman" w:cs="Times New Roman"/>
      <w:sz w:val="36"/>
      <w:szCs w:val="20"/>
    </w:rPr>
  </w:style>
  <w:style w:type="paragraph" w:styleId="aa">
    <w:name w:val="Salutation"/>
    <w:basedOn w:val="a"/>
    <w:next w:val="a"/>
    <w:link w:val="ab"/>
    <w:uiPriority w:val="99"/>
    <w:unhideWhenUsed/>
    <w:rsid w:val="002E4EB0"/>
    <w:rPr>
      <w:rFonts w:ascii="標楷體" w:eastAsia="標楷體" w:hAnsi="標楷體"/>
    </w:rPr>
  </w:style>
  <w:style w:type="character" w:customStyle="1" w:styleId="ab">
    <w:name w:val="問候 字元"/>
    <w:basedOn w:val="a0"/>
    <w:link w:val="aa"/>
    <w:uiPriority w:val="99"/>
    <w:rsid w:val="002E4EB0"/>
    <w:rPr>
      <w:rFonts w:ascii="標楷體" w:eastAsia="標楷體" w:hAnsi="標楷體"/>
    </w:rPr>
  </w:style>
  <w:style w:type="paragraph" w:styleId="ac">
    <w:name w:val="Closing"/>
    <w:basedOn w:val="a"/>
    <w:link w:val="ad"/>
    <w:uiPriority w:val="99"/>
    <w:unhideWhenUsed/>
    <w:rsid w:val="002E4EB0"/>
    <w:pPr>
      <w:ind w:leftChars="1800" w:left="100"/>
    </w:pPr>
    <w:rPr>
      <w:rFonts w:ascii="標楷體" w:eastAsia="標楷體" w:hAnsi="標楷體"/>
    </w:rPr>
  </w:style>
  <w:style w:type="character" w:customStyle="1" w:styleId="ad">
    <w:name w:val="結語 字元"/>
    <w:basedOn w:val="a0"/>
    <w:link w:val="ac"/>
    <w:uiPriority w:val="99"/>
    <w:rsid w:val="002E4EB0"/>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 w:type="paragraph" w:customStyle="1" w:styleId="a9">
    <w:name w:val="主旨"/>
    <w:basedOn w:val="a"/>
    <w:rsid w:val="00AA5195"/>
    <w:pPr>
      <w:snapToGrid w:val="0"/>
    </w:pPr>
    <w:rPr>
      <w:rFonts w:ascii="Times New Roman" w:eastAsia="標楷體" w:hAnsi="Times New Roman" w:cs="Times New Roman"/>
      <w:sz w:val="36"/>
      <w:szCs w:val="20"/>
    </w:rPr>
  </w:style>
  <w:style w:type="paragraph" w:styleId="aa">
    <w:name w:val="Salutation"/>
    <w:basedOn w:val="a"/>
    <w:next w:val="a"/>
    <w:link w:val="ab"/>
    <w:uiPriority w:val="99"/>
    <w:unhideWhenUsed/>
    <w:rsid w:val="002E4EB0"/>
    <w:rPr>
      <w:rFonts w:ascii="標楷體" w:eastAsia="標楷體" w:hAnsi="標楷體"/>
    </w:rPr>
  </w:style>
  <w:style w:type="character" w:customStyle="1" w:styleId="ab">
    <w:name w:val="問候 字元"/>
    <w:basedOn w:val="a0"/>
    <w:link w:val="aa"/>
    <w:uiPriority w:val="99"/>
    <w:rsid w:val="002E4EB0"/>
    <w:rPr>
      <w:rFonts w:ascii="標楷體" w:eastAsia="標楷體" w:hAnsi="標楷體"/>
    </w:rPr>
  </w:style>
  <w:style w:type="paragraph" w:styleId="ac">
    <w:name w:val="Closing"/>
    <w:basedOn w:val="a"/>
    <w:link w:val="ad"/>
    <w:uiPriority w:val="99"/>
    <w:unhideWhenUsed/>
    <w:rsid w:val="002E4EB0"/>
    <w:pPr>
      <w:ind w:leftChars="1800" w:left="100"/>
    </w:pPr>
    <w:rPr>
      <w:rFonts w:ascii="標楷體" w:eastAsia="標楷體" w:hAnsi="標楷體"/>
    </w:rPr>
  </w:style>
  <w:style w:type="character" w:customStyle="1" w:styleId="ad">
    <w:name w:val="結語 字元"/>
    <w:basedOn w:val="a0"/>
    <w:link w:val="ac"/>
    <w:uiPriority w:val="99"/>
    <w:rsid w:val="002E4EB0"/>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0BC6-00DB-4C75-86A6-C4151C35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洪敦彥</dc:creator>
  <cp:lastModifiedBy>劉慧芬</cp:lastModifiedBy>
  <cp:revision>6</cp:revision>
  <cp:lastPrinted>2014-12-29T02:34:00Z</cp:lastPrinted>
  <dcterms:created xsi:type="dcterms:W3CDTF">2015-11-21T04:48:00Z</dcterms:created>
  <dcterms:modified xsi:type="dcterms:W3CDTF">2015-11-26T02:18:00Z</dcterms:modified>
</cp:coreProperties>
</file>