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3A" w:rsidRPr="00E42D37" w:rsidRDefault="00A64A39" w:rsidP="003910B7">
      <w:pPr>
        <w:spacing w:afterLines="100" w:after="360"/>
        <w:jc w:val="center"/>
        <w:rPr>
          <w:rFonts w:ascii="標楷體" w:eastAsia="標楷體" w:hAnsi="標楷體"/>
          <w:b/>
          <w:sz w:val="38"/>
          <w:szCs w:val="38"/>
        </w:rPr>
      </w:pPr>
      <w:r w:rsidRPr="00E42D37">
        <w:rPr>
          <w:rFonts w:ascii="標楷體" w:eastAsia="標楷體" w:hAnsi="標楷體" w:hint="eastAsia"/>
          <w:b/>
          <w:sz w:val="38"/>
          <w:szCs w:val="38"/>
        </w:rPr>
        <w:t>交通部所屬機關(構)廉政平</w:t>
      </w:r>
      <w:proofErr w:type="gramStart"/>
      <w:r w:rsidRPr="00E42D37">
        <w:rPr>
          <w:rFonts w:ascii="標楷體" w:eastAsia="標楷體" w:hAnsi="標楷體" w:hint="eastAsia"/>
          <w:b/>
          <w:sz w:val="38"/>
          <w:szCs w:val="38"/>
        </w:rPr>
        <w:t>臺</w:t>
      </w:r>
      <w:proofErr w:type="gramEnd"/>
      <w:r w:rsidRPr="00E42D37">
        <w:rPr>
          <w:rFonts w:ascii="標楷體" w:eastAsia="標楷體" w:hAnsi="標楷體" w:hint="eastAsia"/>
          <w:b/>
          <w:sz w:val="38"/>
          <w:szCs w:val="38"/>
        </w:rPr>
        <w:t>座談會議題彙整表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A64A39" w:rsidRPr="00A64A39" w:rsidTr="003910B7">
        <w:tc>
          <w:tcPr>
            <w:tcW w:w="8362" w:type="dxa"/>
            <w:vAlign w:val="center"/>
          </w:tcPr>
          <w:p w:rsidR="00A64A39" w:rsidRPr="00A64A39" w:rsidRDefault="00A64A39" w:rsidP="00146292">
            <w:pPr>
              <w:adjustRightInd w:val="0"/>
              <w:snapToGrid w:val="0"/>
              <w:spacing w:line="360" w:lineRule="auto"/>
              <w:ind w:left="1698" w:hangingChars="530" w:hanging="1698"/>
              <w:jc w:val="both"/>
              <w:rPr>
                <w:rFonts w:ascii="標楷體" w:eastAsia="標楷體" w:hAnsi="標楷體"/>
              </w:rPr>
            </w:pPr>
            <w:r w:rsidRPr="00E42D37">
              <w:rPr>
                <w:rFonts w:ascii="標楷體" w:eastAsia="標楷體" w:hAnsi="標楷體" w:hint="eastAsia"/>
                <w:b/>
                <w:sz w:val="32"/>
                <w:szCs w:val="32"/>
              </w:rPr>
              <w:t>活動名稱：</w:t>
            </w:r>
            <w:r w:rsidR="00146292" w:rsidRPr="00146292">
              <w:rPr>
                <w:rFonts w:ascii="標楷體" w:eastAsia="標楷體" w:hAnsi="標楷體" w:hint="eastAsia"/>
                <w:sz w:val="28"/>
                <w:szCs w:val="28"/>
              </w:rPr>
              <w:t>臺灣港務股份有限公司基隆港務分公司</w:t>
            </w:r>
            <w:proofErr w:type="gramStart"/>
            <w:r w:rsidR="00146292" w:rsidRPr="00146292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146292" w:rsidRPr="00146292">
              <w:rPr>
                <w:rFonts w:ascii="標楷體" w:eastAsia="標楷體" w:hAnsi="標楷體" w:hint="eastAsia"/>
                <w:sz w:val="28"/>
                <w:szCs w:val="28"/>
              </w:rPr>
              <w:t>北港營運處104年</w:t>
            </w:r>
            <w:proofErr w:type="gramStart"/>
            <w:r w:rsidR="00146292" w:rsidRPr="00146292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146292" w:rsidRPr="00146292">
              <w:rPr>
                <w:rFonts w:ascii="標楷體" w:eastAsia="標楷體" w:hAnsi="標楷體" w:hint="eastAsia"/>
                <w:sz w:val="28"/>
                <w:szCs w:val="28"/>
              </w:rPr>
              <w:t>北商港物流倉儲區填海造地計畫「第二期圍堤工程」與「</w:t>
            </w:r>
            <w:proofErr w:type="gramStart"/>
            <w:r w:rsidR="00146292" w:rsidRPr="00146292">
              <w:rPr>
                <w:rFonts w:ascii="標楷體" w:eastAsia="標楷體" w:hAnsi="標楷體" w:hint="eastAsia"/>
                <w:sz w:val="28"/>
                <w:szCs w:val="28"/>
              </w:rPr>
              <w:t>第一期造地</w:t>
            </w:r>
            <w:proofErr w:type="gramEnd"/>
            <w:r w:rsidR="00146292" w:rsidRPr="00146292">
              <w:rPr>
                <w:rFonts w:ascii="標楷體" w:eastAsia="標楷體" w:hAnsi="標楷體" w:hint="eastAsia"/>
                <w:sz w:val="28"/>
                <w:szCs w:val="28"/>
              </w:rPr>
              <w:t>工程</w:t>
            </w:r>
            <w:proofErr w:type="gramStart"/>
            <w:r w:rsidR="00146292" w:rsidRPr="00146292">
              <w:rPr>
                <w:rFonts w:ascii="標楷體" w:eastAsia="標楷體" w:hAnsi="標楷體" w:hint="eastAsia"/>
                <w:sz w:val="28"/>
                <w:szCs w:val="28"/>
              </w:rPr>
              <w:t>─</w:t>
            </w:r>
            <w:proofErr w:type="gramEnd"/>
            <w:r w:rsidR="00146292" w:rsidRPr="00146292">
              <w:rPr>
                <w:rFonts w:ascii="標楷體" w:eastAsia="標楷體" w:hAnsi="標楷體" w:hint="eastAsia"/>
                <w:sz w:val="28"/>
                <w:szCs w:val="28"/>
              </w:rPr>
              <w:t>土方交換管制</w:t>
            </w:r>
            <w:proofErr w:type="gramStart"/>
            <w:r w:rsidR="00146292" w:rsidRPr="00146292">
              <w:rPr>
                <w:rFonts w:ascii="標楷體" w:eastAsia="標楷體" w:hAnsi="標楷體" w:hint="eastAsia"/>
                <w:sz w:val="28"/>
                <w:szCs w:val="28"/>
              </w:rPr>
              <w:t>及推整委託</w:t>
            </w:r>
            <w:proofErr w:type="gramEnd"/>
            <w:r w:rsidR="00146292" w:rsidRPr="00146292">
              <w:rPr>
                <w:rFonts w:ascii="標楷體" w:eastAsia="標楷體" w:hAnsi="標楷體" w:hint="eastAsia"/>
                <w:sz w:val="28"/>
                <w:szCs w:val="28"/>
              </w:rPr>
              <w:t>專業服務」廉政平台交流活動</w:t>
            </w:r>
          </w:p>
        </w:tc>
      </w:tr>
      <w:tr w:rsidR="006E7852" w:rsidRPr="00A64A39" w:rsidTr="003910B7">
        <w:tc>
          <w:tcPr>
            <w:tcW w:w="8362" w:type="dxa"/>
            <w:vAlign w:val="center"/>
          </w:tcPr>
          <w:p w:rsidR="006E7852" w:rsidRPr="00480C44" w:rsidRDefault="006E7852" w:rsidP="00191B6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E42D37">
              <w:rPr>
                <w:rFonts w:ascii="標楷體" w:eastAsia="標楷體" w:hAnsi="標楷體" w:hint="eastAsia"/>
                <w:b/>
                <w:sz w:val="32"/>
                <w:szCs w:val="32"/>
              </w:rPr>
              <w:t>時間：</w:t>
            </w:r>
            <w:r w:rsidR="00146292" w:rsidRPr="00146292">
              <w:rPr>
                <w:rFonts w:ascii="標楷體" w:eastAsia="標楷體" w:hAnsi="標楷體" w:hint="eastAsia"/>
                <w:sz w:val="28"/>
                <w:szCs w:val="28"/>
              </w:rPr>
              <w:t>104年8月7日</w:t>
            </w:r>
          </w:p>
        </w:tc>
      </w:tr>
      <w:tr w:rsidR="006E7852" w:rsidRPr="00A64A39" w:rsidTr="003910B7">
        <w:tc>
          <w:tcPr>
            <w:tcW w:w="8362" w:type="dxa"/>
            <w:vAlign w:val="center"/>
          </w:tcPr>
          <w:p w:rsidR="006E7852" w:rsidRDefault="006E7852" w:rsidP="00191B6B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E42D37">
              <w:rPr>
                <w:rFonts w:ascii="標楷體" w:eastAsia="標楷體" w:hAnsi="標楷體" w:hint="eastAsia"/>
                <w:b/>
                <w:sz w:val="32"/>
                <w:szCs w:val="32"/>
              </w:rPr>
              <w:t>地點：</w:t>
            </w:r>
            <w:proofErr w:type="gramStart"/>
            <w:r w:rsidR="00146292" w:rsidRPr="00146292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146292" w:rsidRPr="00146292">
              <w:rPr>
                <w:rFonts w:ascii="標楷體" w:eastAsia="標楷體" w:hAnsi="標楷體" w:hint="eastAsia"/>
                <w:sz w:val="28"/>
                <w:szCs w:val="28"/>
              </w:rPr>
              <w:t>北港行政大樓8樓簡報室</w:t>
            </w:r>
          </w:p>
        </w:tc>
      </w:tr>
      <w:tr w:rsidR="006E7852" w:rsidRPr="00A64A39" w:rsidTr="003910B7">
        <w:tc>
          <w:tcPr>
            <w:tcW w:w="8362" w:type="dxa"/>
            <w:vAlign w:val="center"/>
          </w:tcPr>
          <w:p w:rsidR="006E7852" w:rsidRDefault="006E7852" w:rsidP="00146292">
            <w:pPr>
              <w:adjustRightInd w:val="0"/>
              <w:snapToGrid w:val="0"/>
              <w:spacing w:line="360" w:lineRule="auto"/>
              <w:ind w:left="1281" w:rightChars="-50" w:right="-120" w:hangingChars="400" w:hanging="1281"/>
              <w:jc w:val="both"/>
              <w:rPr>
                <w:rFonts w:ascii="標楷體" w:eastAsia="標楷體" w:hAnsi="標楷體"/>
              </w:rPr>
            </w:pPr>
            <w:r w:rsidRPr="00E42D37">
              <w:rPr>
                <w:rFonts w:ascii="標楷體" w:eastAsia="標楷體" w:hAnsi="標楷體" w:hint="eastAsia"/>
                <w:b/>
                <w:sz w:val="32"/>
                <w:szCs w:val="32"/>
              </w:rPr>
              <w:t>主持人：</w:t>
            </w:r>
            <w:r w:rsidR="00146292" w:rsidRPr="00146292">
              <w:rPr>
                <w:rFonts w:ascii="標楷體" w:eastAsia="標楷體" w:hAnsi="標楷體" w:hint="eastAsia"/>
                <w:sz w:val="28"/>
                <w:szCs w:val="28"/>
              </w:rPr>
              <w:t>臺灣港務股份有限公司基隆港務分公司</w:t>
            </w:r>
            <w:proofErr w:type="gramStart"/>
            <w:r w:rsidR="00146292" w:rsidRPr="00146292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146292" w:rsidRPr="00146292">
              <w:rPr>
                <w:rFonts w:ascii="標楷體" w:eastAsia="標楷體" w:hAnsi="標楷體" w:hint="eastAsia"/>
                <w:sz w:val="28"/>
                <w:szCs w:val="28"/>
              </w:rPr>
              <w:t>北港營運處資深處長陳榮聰</w:t>
            </w:r>
          </w:p>
        </w:tc>
      </w:tr>
      <w:tr w:rsidR="006E7852" w:rsidRPr="00A64A39" w:rsidTr="00C96C27">
        <w:tc>
          <w:tcPr>
            <w:tcW w:w="8362" w:type="dxa"/>
          </w:tcPr>
          <w:p w:rsidR="00ED5DFE" w:rsidRPr="00146292" w:rsidRDefault="006E7852" w:rsidP="00146292">
            <w:pPr>
              <w:adjustRightInd w:val="0"/>
              <w:snapToGrid w:val="0"/>
              <w:spacing w:line="360" w:lineRule="auto"/>
              <w:ind w:left="1762" w:hangingChars="550" w:hanging="176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1B6B">
              <w:rPr>
                <w:rFonts w:ascii="標楷體" w:eastAsia="標楷體" w:hAnsi="標楷體" w:hint="eastAsia"/>
                <w:b/>
                <w:sz w:val="32"/>
                <w:szCs w:val="32"/>
              </w:rPr>
              <w:t>重要貴賓：</w:t>
            </w:r>
            <w:r w:rsidR="00191B6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146292" w:rsidRPr="00146292">
              <w:rPr>
                <w:rFonts w:ascii="標楷體" w:eastAsia="標楷體" w:hAnsi="標楷體" w:hint="eastAsia"/>
                <w:sz w:val="28"/>
                <w:szCs w:val="28"/>
              </w:rPr>
              <w:t>臺灣士林地方法院檢察署檢察官蔡啟文、法務部調查局航業調查處基隆站組長張和平、法務部調查局航業調查處基隆站調查官陳俊瑺、臺灣港務股份有限公司行政副總劉詩宗、臺灣港務股份有限公司政風處代理資深處長黃秀銀</w:t>
            </w:r>
            <w:r w:rsidR="00146292" w:rsidRPr="001364A3">
              <w:rPr>
                <w:rFonts w:ascii="標楷體" w:eastAsia="標楷體" w:hAnsi="標楷體" w:hint="eastAsia"/>
                <w:sz w:val="28"/>
                <w:szCs w:val="28"/>
              </w:rPr>
              <w:t>等，計參加人員約</w:t>
            </w:r>
            <w:r w:rsidR="00146292"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  <w:r w:rsidR="00146292" w:rsidRPr="001364A3">
              <w:rPr>
                <w:rFonts w:ascii="標楷體" w:eastAsia="標楷體" w:hAnsi="標楷體" w:hint="eastAsia"/>
                <w:sz w:val="28"/>
                <w:szCs w:val="28"/>
              </w:rPr>
              <w:t>人。</w:t>
            </w:r>
          </w:p>
          <w:p w:rsidR="001364A3" w:rsidRDefault="001364A3" w:rsidP="00191B6B">
            <w:pPr>
              <w:adjustRightInd w:val="0"/>
              <w:snapToGrid w:val="0"/>
              <w:spacing w:beforeLines="50" w:before="180" w:afterLines="50" w:after="180"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364A3" w:rsidRDefault="001364A3" w:rsidP="00191B6B">
            <w:pPr>
              <w:adjustRightInd w:val="0"/>
              <w:snapToGrid w:val="0"/>
              <w:spacing w:beforeLines="50" w:before="180" w:afterLines="50" w:after="180" w:line="360" w:lineRule="auto"/>
              <w:ind w:left="1400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46292" w:rsidRDefault="00146292" w:rsidP="00191B6B">
            <w:pPr>
              <w:adjustRightInd w:val="0"/>
              <w:snapToGrid w:val="0"/>
              <w:spacing w:beforeLines="50" w:before="180" w:afterLines="50" w:after="180" w:line="360" w:lineRule="auto"/>
              <w:ind w:left="1400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46292" w:rsidRDefault="00146292" w:rsidP="00191B6B">
            <w:pPr>
              <w:adjustRightInd w:val="0"/>
              <w:snapToGrid w:val="0"/>
              <w:spacing w:beforeLines="50" w:before="180" w:afterLines="50" w:after="180" w:line="360" w:lineRule="auto"/>
              <w:ind w:left="1400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46292" w:rsidRDefault="00146292" w:rsidP="00191B6B">
            <w:pPr>
              <w:adjustRightInd w:val="0"/>
              <w:snapToGrid w:val="0"/>
              <w:spacing w:beforeLines="50" w:before="180" w:afterLines="50" w:after="180" w:line="360" w:lineRule="auto"/>
              <w:ind w:left="1400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146292" w:rsidRPr="001364A3" w:rsidRDefault="00146292" w:rsidP="00191B6B">
            <w:pPr>
              <w:adjustRightInd w:val="0"/>
              <w:snapToGrid w:val="0"/>
              <w:spacing w:beforeLines="50" w:before="180" w:afterLines="50" w:after="180" w:line="360" w:lineRule="auto"/>
              <w:ind w:left="1400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884D03" w:rsidRPr="00884D03" w:rsidRDefault="00884D03" w:rsidP="00191B6B">
            <w:pPr>
              <w:adjustRightInd w:val="0"/>
              <w:snapToGrid w:val="0"/>
              <w:spacing w:beforeLines="50" w:before="180" w:afterLines="50" w:after="180" w:line="360" w:lineRule="auto"/>
              <w:ind w:left="1400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819F5" w:rsidRDefault="00D819F5" w:rsidP="00AE0600">
      <w:pPr>
        <w:jc w:val="center"/>
        <w:rPr>
          <w:rFonts w:ascii="標楷體" w:eastAsia="標楷體" w:hAnsi="標楷體"/>
        </w:rPr>
        <w:sectPr w:rsidR="00D819F5" w:rsidSect="004E75B4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A64A39" w:rsidRPr="00A64A39" w:rsidTr="00D819F5">
        <w:trPr>
          <w:tblHeader/>
        </w:trPr>
        <w:tc>
          <w:tcPr>
            <w:tcW w:w="4181" w:type="dxa"/>
          </w:tcPr>
          <w:p w:rsidR="00A64A39" w:rsidRPr="00A45533" w:rsidRDefault="00A64A39" w:rsidP="00AE060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45533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議</w:t>
            </w:r>
            <w:r w:rsidR="00FE3380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45533">
              <w:rPr>
                <w:rFonts w:ascii="標楷體" w:eastAsia="標楷體" w:hAnsi="標楷體" w:hint="eastAsia"/>
                <w:b/>
                <w:sz w:val="32"/>
                <w:szCs w:val="32"/>
              </w:rPr>
              <w:t>題</w:t>
            </w:r>
          </w:p>
        </w:tc>
        <w:tc>
          <w:tcPr>
            <w:tcW w:w="4181" w:type="dxa"/>
          </w:tcPr>
          <w:p w:rsidR="00A64A39" w:rsidRPr="00A64A39" w:rsidRDefault="00A64A39" w:rsidP="00AE0600">
            <w:pPr>
              <w:jc w:val="center"/>
              <w:rPr>
                <w:rFonts w:ascii="標楷體" w:eastAsia="標楷體" w:hAnsi="標楷體"/>
              </w:rPr>
            </w:pPr>
            <w:r w:rsidRPr="00A45533">
              <w:rPr>
                <w:rFonts w:ascii="標楷體" w:eastAsia="標楷體" w:hAnsi="標楷體" w:hint="eastAsia"/>
                <w:b/>
                <w:sz w:val="32"/>
                <w:szCs w:val="32"/>
              </w:rPr>
              <w:t>說</w:t>
            </w:r>
            <w:r w:rsidR="00FE3380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A45533">
              <w:rPr>
                <w:rFonts w:ascii="標楷體" w:eastAsia="標楷體" w:hAnsi="標楷體" w:hint="eastAsia"/>
                <w:b/>
                <w:sz w:val="32"/>
                <w:szCs w:val="32"/>
              </w:rPr>
              <w:t>明</w:t>
            </w:r>
          </w:p>
        </w:tc>
      </w:tr>
      <w:tr w:rsidR="00A64A39" w:rsidRPr="00A64A39" w:rsidTr="00A64A39">
        <w:tc>
          <w:tcPr>
            <w:tcW w:w="4181" w:type="dxa"/>
          </w:tcPr>
          <w:p w:rsidR="00146292" w:rsidRPr="00146292" w:rsidRDefault="00146292" w:rsidP="00146292">
            <w:pPr>
              <w:pStyle w:val="a4"/>
              <w:numPr>
                <w:ilvl w:val="0"/>
                <w:numId w:val="13"/>
              </w:numPr>
              <w:spacing w:beforeLines="50" w:before="180" w:line="0" w:lineRule="atLeas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6292">
              <w:rPr>
                <w:rFonts w:ascii="標楷體" w:eastAsia="標楷體" w:hAnsi="標楷體" w:hint="eastAsia"/>
                <w:b/>
                <w:sz w:val="28"/>
                <w:szCs w:val="28"/>
              </w:rPr>
              <w:t>工程實務上，機關為達成工程進度目標或因應工程現況及效率，而常有變更設計及小額採購等情事，甚或先行施作再補其程序，如此是否會讓外界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質疑有圖利廠商之嫌，就司法單位之立場如何避免不法情事發生？</w:t>
            </w:r>
          </w:p>
        </w:tc>
        <w:tc>
          <w:tcPr>
            <w:tcW w:w="4181" w:type="dxa"/>
          </w:tcPr>
          <w:p w:rsidR="00146292" w:rsidRPr="00146292" w:rsidRDefault="00146292" w:rsidP="00146292">
            <w:pPr>
              <w:spacing w:beforeLines="50" w:before="180" w:line="276" w:lineRule="auto"/>
              <w:jc w:val="both"/>
              <w:rPr>
                <w:rFonts w:ascii="標楷體" w:eastAsia="標楷體" w:hAnsi="標楷體"/>
                <w:b/>
                <w:u w:val="double"/>
              </w:rPr>
            </w:pPr>
            <w:r w:rsidRPr="00146292">
              <w:rPr>
                <w:rFonts w:ascii="標楷體" w:eastAsia="標楷體" w:hAnsi="標楷體" w:hint="eastAsia"/>
                <w:b/>
                <w:u w:val="double"/>
              </w:rPr>
              <w:t>臺灣士林地方法院檢察署檢察官蔡啟文：</w:t>
            </w:r>
          </w:p>
          <w:p w:rsidR="00B84DA3" w:rsidRDefault="00B84DA3" w:rsidP="00B84DA3">
            <w:pPr>
              <w:spacing w:beforeLines="50" w:before="180" w:line="276" w:lineRule="auto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146292" w:rsidRPr="00146292">
              <w:rPr>
                <w:rFonts w:ascii="標楷體" w:eastAsia="標楷體" w:hAnsi="標楷體" w:hint="eastAsia"/>
              </w:rPr>
              <w:t>機關為達成工程進度目標或因應工程現</w:t>
            </w:r>
            <w:r>
              <w:rPr>
                <w:rFonts w:ascii="標楷體" w:eastAsia="標楷體" w:hAnsi="標楷體" w:hint="eastAsia"/>
              </w:rPr>
              <w:t>況及效率，而有變更設計或先行施作等，應</w:t>
            </w:r>
            <w:proofErr w:type="gramStart"/>
            <w:r>
              <w:rPr>
                <w:rFonts w:ascii="標楷體" w:eastAsia="標楷體" w:hAnsi="標楷體" w:hint="eastAsia"/>
              </w:rPr>
              <w:t>踐行</w:t>
            </w:r>
            <w:proofErr w:type="gramEnd"/>
            <w:r>
              <w:rPr>
                <w:rFonts w:ascii="標楷體" w:eastAsia="標楷體" w:hAnsi="標楷體" w:hint="eastAsia"/>
              </w:rPr>
              <w:t>何種程序如有疑慮，</w:t>
            </w:r>
            <w:r w:rsidR="00146292" w:rsidRPr="00146292">
              <w:rPr>
                <w:rFonts w:ascii="標楷體" w:eastAsia="標楷體" w:hAnsi="標楷體" w:hint="eastAsia"/>
              </w:rPr>
              <w:t>可向</w:t>
            </w:r>
            <w:r w:rsidR="00F925E7">
              <w:rPr>
                <w:rFonts w:ascii="標楷體" w:eastAsia="標楷體" w:hAnsi="標楷體" w:hint="eastAsia"/>
              </w:rPr>
              <w:t>工程會詢問，因為司法機關</w:t>
            </w:r>
            <w:r>
              <w:rPr>
                <w:rFonts w:ascii="標楷體" w:eastAsia="標楷體" w:hAnsi="標楷體" w:hint="eastAsia"/>
              </w:rPr>
              <w:t>所做的判斷也都會參考工程會的意見；另外，</w:t>
            </w:r>
            <w:r w:rsidR="00146292" w:rsidRPr="00146292">
              <w:rPr>
                <w:rFonts w:ascii="標楷體" w:eastAsia="標楷體" w:hAnsi="標楷體" w:hint="eastAsia"/>
              </w:rPr>
              <w:t>政府採購法第70條第3項、第4</w:t>
            </w:r>
            <w:r>
              <w:rPr>
                <w:rFonts w:ascii="標楷體" w:eastAsia="標楷體" w:hAnsi="標楷體" w:hint="eastAsia"/>
              </w:rPr>
              <w:t>項</w:t>
            </w:r>
            <w:r w:rsidR="00146292" w:rsidRPr="00146292">
              <w:rPr>
                <w:rFonts w:ascii="標楷體" w:eastAsia="標楷體" w:hAnsi="標楷體" w:hint="eastAsia"/>
              </w:rPr>
              <w:t>規定可以成立工程施工查核小組來控管工程品質及進度，相關工程疑義亦可詢問工程施工查核小組，查核小組如果同意為達成工程目標進度所為之特定行為，那大致上就不會有問題。</w:t>
            </w:r>
          </w:p>
          <w:p w:rsidR="00191B6B" w:rsidRDefault="00B84DA3" w:rsidP="00B84DA3">
            <w:pPr>
              <w:spacing w:beforeLines="50" w:before="180" w:line="276" w:lineRule="auto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146292" w:rsidRPr="00146292">
              <w:rPr>
                <w:rFonts w:ascii="標楷體" w:eastAsia="標楷體" w:hAnsi="標楷體" w:hint="eastAsia"/>
              </w:rPr>
              <w:t>工程施工查核小組作業辦法第12</w:t>
            </w:r>
            <w:r>
              <w:rPr>
                <w:rFonts w:ascii="標楷體" w:eastAsia="標楷體" w:hAnsi="標楷體" w:hint="eastAsia"/>
              </w:rPr>
              <w:t>條有授權工程採購機關可以做一些細節性</w:t>
            </w:r>
            <w:r w:rsidR="00146292" w:rsidRPr="00146292">
              <w:rPr>
                <w:rFonts w:ascii="標楷體" w:eastAsia="標楷體" w:hAnsi="標楷體" w:hint="eastAsia"/>
              </w:rPr>
              <w:t>規定，如果現有合約不足以應付所遇到的狀況時，可以依該作業辦法再做更細部的規定。</w:t>
            </w:r>
            <w:r>
              <w:rPr>
                <w:rFonts w:ascii="標楷體" w:eastAsia="標楷體" w:hAnsi="標楷體" w:hint="eastAsia"/>
              </w:rPr>
              <w:t>如</w:t>
            </w:r>
            <w:r w:rsidR="00146292" w:rsidRPr="00146292">
              <w:rPr>
                <w:rFonts w:ascii="標楷體" w:eastAsia="標楷體" w:hAnsi="標楷體" w:hint="eastAsia"/>
              </w:rPr>
              <w:t>嘉義縣政府在某工程案件中，已有依工程施工查核小組作業辦法第12條另外做補充規定，相關作業情形已有前例可循。</w:t>
            </w:r>
          </w:p>
          <w:p w:rsidR="00146292" w:rsidRPr="00B84DA3" w:rsidRDefault="00146292" w:rsidP="00146292">
            <w:pPr>
              <w:spacing w:beforeLines="50" w:before="180" w:line="276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A64A39" w:rsidRPr="00A64A39" w:rsidTr="00A64A39">
        <w:tc>
          <w:tcPr>
            <w:tcW w:w="4181" w:type="dxa"/>
          </w:tcPr>
          <w:p w:rsidR="00146292" w:rsidRPr="00146292" w:rsidRDefault="00146292" w:rsidP="00146292">
            <w:pPr>
              <w:pStyle w:val="a4"/>
              <w:numPr>
                <w:ilvl w:val="0"/>
                <w:numId w:val="13"/>
              </w:numPr>
              <w:spacing w:beforeLines="50" w:before="180" w:line="0" w:lineRule="atLeas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6292">
              <w:rPr>
                <w:rFonts w:ascii="標楷體" w:eastAsia="標楷體" w:hAnsi="標楷體" w:hint="eastAsia"/>
                <w:b/>
                <w:sz w:val="28"/>
                <w:szCs w:val="28"/>
              </w:rPr>
              <w:t>採購案之得標金額有時會與預算編列相去甚遠，若不讓人懷疑是否有超編預算並藉以將來更設計追加預算之嫌，就是廠商為利潤而「偷工減料」，但所謂「廠商合理</w:t>
            </w:r>
            <w:r w:rsidRPr="00146292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利潤」為何？於政府採購法中又遍尋不著，請問要如何在維護機關利益、廠商合理利潤及相關適法性間取得平衡？</w:t>
            </w:r>
          </w:p>
        </w:tc>
        <w:tc>
          <w:tcPr>
            <w:tcW w:w="4181" w:type="dxa"/>
          </w:tcPr>
          <w:p w:rsidR="00146292" w:rsidRPr="00146292" w:rsidRDefault="00146292" w:rsidP="00146292">
            <w:pPr>
              <w:spacing w:line="276" w:lineRule="auto"/>
              <w:jc w:val="both"/>
              <w:rPr>
                <w:rFonts w:ascii="標楷體" w:eastAsia="標楷體" w:hAnsi="標楷體"/>
                <w:b/>
                <w:szCs w:val="24"/>
                <w:u w:val="double"/>
              </w:rPr>
            </w:pPr>
            <w:r w:rsidRPr="00146292">
              <w:rPr>
                <w:rFonts w:ascii="標楷體" w:eastAsia="標楷體" w:hAnsi="標楷體" w:hint="eastAsia"/>
                <w:b/>
                <w:szCs w:val="24"/>
                <w:u w:val="double"/>
              </w:rPr>
              <w:lastRenderedPageBreak/>
              <w:t>臺灣士林地方法院檢察署檢察官蔡啟文：</w:t>
            </w:r>
          </w:p>
          <w:p w:rsidR="00191B6B" w:rsidRPr="00191B6B" w:rsidRDefault="00B84DA3" w:rsidP="00146292">
            <w:pPr>
              <w:spacing w:beforeLines="50" w:before="180"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有關預算的編列、哪些部分要做及</w:t>
            </w:r>
            <w:r w:rsidR="00146292" w:rsidRPr="00146292">
              <w:rPr>
                <w:rFonts w:ascii="標楷體" w:eastAsia="標楷體" w:hAnsi="標楷體" w:hint="eastAsia"/>
                <w:szCs w:val="24"/>
              </w:rPr>
              <w:t>要做到什麼程度</w:t>
            </w:r>
            <w:r>
              <w:rPr>
                <w:rFonts w:ascii="標楷體" w:eastAsia="標楷體" w:hAnsi="標楷體" w:hint="eastAsia"/>
                <w:szCs w:val="24"/>
              </w:rPr>
              <w:t>，這均</w:t>
            </w:r>
            <w:r w:rsidR="00146292" w:rsidRPr="00146292">
              <w:rPr>
                <w:rFonts w:ascii="標楷體" w:eastAsia="標楷體" w:hAnsi="標楷體" w:hint="eastAsia"/>
                <w:szCs w:val="24"/>
              </w:rPr>
              <w:t>屬於可行性評估的問題，</w:t>
            </w:r>
            <w:r w:rsidR="00146292">
              <w:rPr>
                <w:rFonts w:ascii="標楷體" w:eastAsia="標楷體" w:hAnsi="標楷體" w:hint="eastAsia"/>
                <w:szCs w:val="24"/>
              </w:rPr>
              <w:t>司法機關不會</w:t>
            </w:r>
            <w:r w:rsidR="00146292" w:rsidRPr="00146292">
              <w:rPr>
                <w:rFonts w:ascii="標楷體" w:eastAsia="標楷體" w:hAnsi="標楷體" w:hint="eastAsia"/>
                <w:szCs w:val="24"/>
              </w:rPr>
              <w:t>介入。</w:t>
            </w:r>
          </w:p>
        </w:tc>
      </w:tr>
      <w:tr w:rsidR="00A64A39" w:rsidRPr="00A64A39" w:rsidTr="00A64A39">
        <w:tc>
          <w:tcPr>
            <w:tcW w:w="4181" w:type="dxa"/>
          </w:tcPr>
          <w:p w:rsidR="00146292" w:rsidRPr="00146292" w:rsidRDefault="00146292" w:rsidP="00146292">
            <w:pPr>
              <w:pStyle w:val="a4"/>
              <w:numPr>
                <w:ilvl w:val="0"/>
                <w:numId w:val="13"/>
              </w:numPr>
              <w:spacing w:beforeLines="50" w:before="180" w:line="0" w:lineRule="atLeas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6292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廠商</w:t>
            </w:r>
            <w:proofErr w:type="gramStart"/>
            <w:r w:rsidRPr="00146292">
              <w:rPr>
                <w:rFonts w:ascii="標楷體" w:eastAsia="標楷體" w:hAnsi="標楷體" w:hint="eastAsia"/>
                <w:b/>
                <w:sz w:val="28"/>
                <w:szCs w:val="28"/>
              </w:rPr>
              <w:t>承作</w:t>
            </w:r>
            <w:proofErr w:type="gramEnd"/>
            <w:r w:rsidRPr="00146292">
              <w:rPr>
                <w:rFonts w:ascii="標楷體" w:eastAsia="標楷體" w:hAnsi="標楷體" w:hint="eastAsia"/>
                <w:b/>
                <w:sz w:val="28"/>
                <w:szCs w:val="28"/>
              </w:rPr>
              <w:t>採購案件，本應</w:t>
            </w:r>
            <w:r w:rsidR="00F925E7">
              <w:rPr>
                <w:rFonts w:ascii="標楷體" w:eastAsia="標楷體" w:hAnsi="標楷體" w:hint="eastAsia"/>
                <w:b/>
                <w:sz w:val="28"/>
                <w:szCs w:val="28"/>
              </w:rPr>
              <w:t>先行評估各項外在環境因素並評估其風險，但有些卻非</w:t>
            </w:r>
            <w:proofErr w:type="gramStart"/>
            <w:r w:rsidR="00F925E7">
              <w:rPr>
                <w:rFonts w:ascii="標楷體" w:eastAsia="標楷體" w:hAnsi="標楷體" w:hint="eastAsia"/>
                <w:b/>
                <w:sz w:val="28"/>
                <w:szCs w:val="28"/>
              </w:rPr>
              <w:t>承作</w:t>
            </w:r>
            <w:proofErr w:type="gramEnd"/>
            <w:r w:rsidR="00F925E7">
              <w:rPr>
                <w:rFonts w:ascii="標楷體" w:eastAsia="標楷體" w:hAnsi="標楷體" w:hint="eastAsia"/>
                <w:b/>
                <w:sz w:val="28"/>
                <w:szCs w:val="28"/>
              </w:rPr>
              <w:t>當時所能預見</w:t>
            </w:r>
            <w:r w:rsidRPr="00146292">
              <w:rPr>
                <w:rFonts w:ascii="標楷體" w:eastAsia="標楷體" w:hAnsi="標楷體" w:hint="eastAsia"/>
                <w:b/>
                <w:sz w:val="28"/>
                <w:szCs w:val="28"/>
              </w:rPr>
              <w:t>，如道路鋪設瀝青，工程以晴天施作為宜，但當月下雨天數卻超過歷年平均值，因而工程逾期；又或像港區環境清潔作業，廠商</w:t>
            </w:r>
            <w:proofErr w:type="gramStart"/>
            <w:r w:rsidRPr="00146292">
              <w:rPr>
                <w:rFonts w:ascii="標楷體" w:eastAsia="標楷體" w:hAnsi="標楷體" w:hint="eastAsia"/>
                <w:b/>
                <w:sz w:val="28"/>
                <w:szCs w:val="28"/>
              </w:rPr>
              <w:t>承作</w:t>
            </w:r>
            <w:proofErr w:type="gramEnd"/>
            <w:r w:rsidRPr="00146292">
              <w:rPr>
                <w:rFonts w:ascii="標楷體" w:eastAsia="標楷體" w:hAnsi="標楷體" w:hint="eastAsia"/>
                <w:b/>
                <w:sz w:val="28"/>
                <w:szCs w:val="28"/>
              </w:rPr>
              <w:t>之後，港區船舶航線突然大增導致廠商處理垃圾人力、費用成本增加，諸如此類，要廠商自行吸收逾期罰款、人力成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本等，似又於情不合，請問這符合不可抗力之契約變更因素嗎？承辦人</w:t>
            </w:r>
            <w:proofErr w:type="gramStart"/>
            <w:r w:rsidRPr="00146292">
              <w:rPr>
                <w:rFonts w:ascii="標楷體" w:eastAsia="標楷體" w:hAnsi="標楷體" w:hint="eastAsia"/>
                <w:b/>
                <w:sz w:val="28"/>
                <w:szCs w:val="28"/>
              </w:rPr>
              <w:t>辦理類案應</w:t>
            </w:r>
            <w:proofErr w:type="gramEnd"/>
            <w:r w:rsidRPr="00146292">
              <w:rPr>
                <w:rFonts w:ascii="標楷體" w:eastAsia="標楷體" w:hAnsi="標楷體" w:hint="eastAsia"/>
                <w:b/>
                <w:sz w:val="28"/>
                <w:szCs w:val="28"/>
              </w:rPr>
              <w:t>遵循何種程序方可對自己有所保障？</w:t>
            </w:r>
          </w:p>
        </w:tc>
        <w:tc>
          <w:tcPr>
            <w:tcW w:w="4181" w:type="dxa"/>
          </w:tcPr>
          <w:p w:rsidR="00146292" w:rsidRPr="00146292" w:rsidRDefault="00146292" w:rsidP="00146292">
            <w:pPr>
              <w:spacing w:line="276" w:lineRule="auto"/>
              <w:jc w:val="both"/>
              <w:rPr>
                <w:rFonts w:ascii="標楷體" w:eastAsia="標楷體" w:hAnsi="標楷體"/>
                <w:b/>
                <w:szCs w:val="24"/>
                <w:u w:val="double"/>
              </w:rPr>
            </w:pPr>
            <w:r w:rsidRPr="00146292">
              <w:rPr>
                <w:rFonts w:ascii="標楷體" w:eastAsia="標楷體" w:hAnsi="標楷體" w:hint="eastAsia"/>
                <w:b/>
                <w:szCs w:val="24"/>
                <w:u w:val="double"/>
              </w:rPr>
              <w:t>臺灣士林地方法院檢察署檢察官蔡啟文：</w:t>
            </w:r>
          </w:p>
          <w:p w:rsidR="00B84DA3" w:rsidRPr="00B84DA3" w:rsidRDefault="00146292" w:rsidP="00B84DA3">
            <w:pPr>
              <w:pStyle w:val="a4"/>
              <w:numPr>
                <w:ilvl w:val="0"/>
                <w:numId w:val="14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84DA3">
              <w:rPr>
                <w:rFonts w:ascii="標楷體" w:eastAsia="標楷體" w:hAnsi="標楷體" w:hint="eastAsia"/>
                <w:szCs w:val="24"/>
              </w:rPr>
              <w:t>是否為不可抗力</w:t>
            </w:r>
            <w:r w:rsidR="00B84DA3">
              <w:rPr>
                <w:rFonts w:ascii="標楷體" w:eastAsia="標楷體" w:hAnsi="標楷體" w:hint="eastAsia"/>
                <w:szCs w:val="24"/>
              </w:rPr>
              <w:t>必須視個案</w:t>
            </w:r>
            <w:r w:rsidRPr="00B84DA3">
              <w:rPr>
                <w:rFonts w:ascii="標楷體" w:eastAsia="標楷體" w:hAnsi="標楷體" w:hint="eastAsia"/>
                <w:szCs w:val="24"/>
              </w:rPr>
              <w:t>判斷</w:t>
            </w:r>
            <w:r w:rsidR="00B84DA3" w:rsidRPr="00B84DA3">
              <w:rPr>
                <w:rFonts w:ascii="標楷體" w:eastAsia="標楷體" w:hAnsi="標楷體" w:hint="eastAsia"/>
                <w:szCs w:val="24"/>
              </w:rPr>
              <w:t>，</w:t>
            </w:r>
            <w:r w:rsidRPr="00B84DA3">
              <w:rPr>
                <w:rFonts w:ascii="標楷體" w:eastAsia="標楷體" w:hAnsi="標楷體" w:hint="eastAsia"/>
                <w:szCs w:val="24"/>
              </w:rPr>
              <w:t>政府採購法有授權一定程度的裁量範圍</w:t>
            </w:r>
            <w:r w:rsidR="00B84DA3">
              <w:rPr>
                <w:rFonts w:ascii="標楷體" w:eastAsia="標楷體" w:hAnsi="標楷體" w:hint="eastAsia"/>
                <w:szCs w:val="24"/>
              </w:rPr>
              <w:t>，行使裁量權只要謹慎留意就好，若只是單純著眼於避嫌，常會演變為爭訟事件，這不見得對</w:t>
            </w:r>
            <w:r w:rsidRPr="00B84DA3">
              <w:rPr>
                <w:rFonts w:ascii="標楷體" w:eastAsia="標楷體" w:hAnsi="標楷體" w:hint="eastAsia"/>
                <w:szCs w:val="24"/>
              </w:rPr>
              <w:t>機關或國家</w:t>
            </w:r>
            <w:r w:rsidR="00B84DA3">
              <w:rPr>
                <w:rFonts w:ascii="標楷體" w:eastAsia="標楷體" w:hAnsi="標楷體" w:hint="eastAsia"/>
                <w:szCs w:val="24"/>
              </w:rPr>
              <w:t>有益</w:t>
            </w:r>
            <w:r w:rsidRPr="00B84DA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91B6B" w:rsidRDefault="00146292" w:rsidP="00B84DA3">
            <w:pPr>
              <w:pStyle w:val="a4"/>
              <w:numPr>
                <w:ilvl w:val="0"/>
                <w:numId w:val="14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84DA3">
              <w:rPr>
                <w:rFonts w:ascii="標楷體" w:eastAsia="標楷體" w:hAnsi="標楷體" w:hint="eastAsia"/>
                <w:szCs w:val="24"/>
              </w:rPr>
              <w:t>依工程施工查核小組作業辦法第12條訂立細節性、</w:t>
            </w:r>
            <w:r w:rsidR="00B84DA3">
              <w:rPr>
                <w:rFonts w:ascii="標楷體" w:eastAsia="標楷體" w:hAnsi="標楷體" w:hint="eastAsia"/>
                <w:szCs w:val="24"/>
              </w:rPr>
              <w:t>技術性</w:t>
            </w:r>
            <w:r w:rsidRPr="00B84DA3">
              <w:rPr>
                <w:rFonts w:ascii="標楷體" w:eastAsia="標楷體" w:hAnsi="標楷體" w:hint="eastAsia"/>
                <w:szCs w:val="24"/>
              </w:rPr>
              <w:t>規範</w:t>
            </w:r>
            <w:r w:rsidR="00B84DA3">
              <w:rPr>
                <w:rFonts w:ascii="標楷體" w:eastAsia="標楷體" w:hAnsi="標楷體" w:hint="eastAsia"/>
                <w:szCs w:val="24"/>
              </w:rPr>
              <w:t>，藉由補充規範的訂定，增加</w:t>
            </w:r>
            <w:r w:rsidR="00B84DA3" w:rsidRPr="00B84DA3">
              <w:rPr>
                <w:rFonts w:ascii="標楷體" w:eastAsia="標楷體" w:hAnsi="標楷體" w:hint="eastAsia"/>
                <w:szCs w:val="24"/>
              </w:rPr>
              <w:t>緩衝</w:t>
            </w:r>
            <w:r w:rsidR="00B84DA3">
              <w:rPr>
                <w:rFonts w:ascii="標楷體" w:eastAsia="標楷體" w:hAnsi="標楷體" w:hint="eastAsia"/>
                <w:szCs w:val="24"/>
              </w:rPr>
              <w:t>機制，例</w:t>
            </w:r>
            <w:r w:rsidRPr="00B84DA3">
              <w:rPr>
                <w:rFonts w:ascii="標楷體" w:eastAsia="標楷體" w:hAnsi="標楷體" w:hint="eastAsia"/>
                <w:szCs w:val="24"/>
              </w:rPr>
              <w:t>如第一次違反規定可暫不罰款，並請廠商說明理由及經工程施工查核小組審核通過等，</w:t>
            </w:r>
            <w:r w:rsidR="00B84DA3">
              <w:rPr>
                <w:rFonts w:ascii="標楷體" w:eastAsia="標楷體" w:hAnsi="標楷體" w:hint="eastAsia"/>
                <w:szCs w:val="24"/>
              </w:rPr>
              <w:t>這</w:t>
            </w:r>
            <w:r w:rsidRPr="00B84DA3">
              <w:rPr>
                <w:rFonts w:ascii="標楷體" w:eastAsia="標楷體" w:hAnsi="標楷體" w:hint="eastAsia"/>
                <w:szCs w:val="24"/>
              </w:rPr>
              <w:t>樣的裁量也是經由法律所授權。</w:t>
            </w:r>
          </w:p>
          <w:p w:rsidR="00B84DA3" w:rsidRPr="00B84DA3" w:rsidRDefault="00B84DA3" w:rsidP="00B84DA3">
            <w:pPr>
              <w:pStyle w:val="a4"/>
              <w:spacing w:line="276" w:lineRule="auto"/>
              <w:ind w:leftChars="0" w:left="504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66B7" w:rsidRPr="00A64A39" w:rsidTr="00A64A39">
        <w:tc>
          <w:tcPr>
            <w:tcW w:w="4181" w:type="dxa"/>
          </w:tcPr>
          <w:p w:rsidR="00715A10" w:rsidRPr="00B84DA3" w:rsidRDefault="00404BE9" w:rsidP="00715A10">
            <w:pPr>
              <w:spacing w:beforeLines="50" w:before="180" w:line="0" w:lineRule="atLeast"/>
              <w:ind w:left="561" w:hangingChars="200" w:hanging="56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2D37">
              <w:rPr>
                <w:rFonts w:ascii="標楷體" w:eastAsia="標楷體" w:hAnsi="標楷體" w:hint="eastAsia"/>
                <w:b/>
                <w:sz w:val="28"/>
                <w:szCs w:val="28"/>
              </w:rPr>
              <w:t>四、</w:t>
            </w:r>
            <w:r w:rsidR="00B84DA3" w:rsidRPr="00B84DA3">
              <w:rPr>
                <w:rFonts w:ascii="標楷體" w:eastAsia="標楷體" w:hAnsi="標楷體" w:hint="eastAsia"/>
                <w:b/>
                <w:sz w:val="28"/>
                <w:szCs w:val="28"/>
              </w:rPr>
              <w:t>在採購案件中，以合於招標文件規定之最低標為得標廠商之方式，在審標及開標過程中，除屬已公告之不良廠商外，對於投標廠商過去履約績效多未納入考量，僅由市場</w:t>
            </w:r>
            <w:proofErr w:type="gramStart"/>
            <w:r w:rsidR="00B84DA3" w:rsidRPr="00B84DA3">
              <w:rPr>
                <w:rFonts w:ascii="標楷體" w:eastAsia="標楷體" w:hAnsi="標楷體" w:hint="eastAsia"/>
                <w:b/>
                <w:sz w:val="28"/>
                <w:szCs w:val="28"/>
              </w:rPr>
              <w:t>自由競</w:t>
            </w:r>
            <w:proofErr w:type="gramEnd"/>
            <w:r w:rsidR="00B84DA3" w:rsidRPr="00B84DA3">
              <w:rPr>
                <w:rFonts w:ascii="標楷體" w:eastAsia="標楷體" w:hAnsi="標楷體" w:hint="eastAsia"/>
                <w:b/>
                <w:sz w:val="28"/>
                <w:szCs w:val="28"/>
              </w:rPr>
              <w:t>價機制以價格作為唯一之競爭項目，易因廠商間不法串謀，造成假性競爭而行圍標之實，或有施作品質不佳之疑慮。</w:t>
            </w:r>
            <w:r w:rsidR="00715A10">
              <w:rPr>
                <w:rFonts w:ascii="標楷體" w:eastAsia="標楷體" w:hAnsi="標楷體" w:hint="eastAsia"/>
                <w:b/>
                <w:sz w:val="28"/>
                <w:szCs w:val="28"/>
              </w:rPr>
              <w:t>因</w:t>
            </w:r>
            <w:r w:rsidR="00B84DA3" w:rsidRPr="00B84DA3">
              <w:rPr>
                <w:rFonts w:ascii="標楷體" w:eastAsia="標楷體" w:hAnsi="標楷體" w:hint="eastAsia"/>
                <w:b/>
                <w:sz w:val="28"/>
                <w:szCs w:val="28"/>
              </w:rPr>
              <w:t>此，工</w:t>
            </w:r>
            <w:r w:rsidR="00B84DA3" w:rsidRPr="00B84DA3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程會</w:t>
            </w:r>
            <w:proofErr w:type="gramStart"/>
            <w:r w:rsidR="00B84DA3" w:rsidRPr="00B84DA3">
              <w:rPr>
                <w:rFonts w:ascii="標楷體" w:eastAsia="標楷體" w:hAnsi="標楷體" w:hint="eastAsia"/>
                <w:b/>
                <w:sz w:val="28"/>
                <w:szCs w:val="28"/>
              </w:rPr>
              <w:t>爰</w:t>
            </w:r>
            <w:proofErr w:type="gramEnd"/>
            <w:r w:rsidR="00B84DA3" w:rsidRPr="00B84DA3">
              <w:rPr>
                <w:rFonts w:ascii="標楷體" w:eastAsia="標楷體" w:hAnsi="標楷體" w:hint="eastAsia"/>
                <w:b/>
                <w:sz w:val="28"/>
                <w:szCs w:val="28"/>
              </w:rPr>
              <w:t>訂定「機關異質採購最低標作業須知」，由審查委員會及工作小組審查投標廠商之資格及規格後，就合於標準之廠商開價格標，</w:t>
            </w:r>
            <w:proofErr w:type="gramStart"/>
            <w:r w:rsidR="00B84DA3" w:rsidRPr="00B84DA3">
              <w:rPr>
                <w:rFonts w:ascii="標楷體" w:eastAsia="標楷體" w:hAnsi="標楷體" w:hint="eastAsia"/>
                <w:b/>
                <w:sz w:val="28"/>
                <w:szCs w:val="28"/>
              </w:rPr>
              <w:t>採</w:t>
            </w:r>
            <w:proofErr w:type="gramEnd"/>
            <w:r w:rsidR="00B84DA3" w:rsidRPr="00B84DA3">
              <w:rPr>
                <w:rFonts w:ascii="標楷體" w:eastAsia="標楷體" w:hAnsi="標楷體" w:hint="eastAsia"/>
                <w:b/>
                <w:sz w:val="28"/>
                <w:szCs w:val="28"/>
              </w:rPr>
              <w:t>最低標決標。規定雖是如此，但廠商資格審查往往會涉及行政裁量，為避免日後遭人質疑，承辦人最終仍僅選擇以最低標決標方式辦理採購。請問就司法機關立場，</w:t>
            </w:r>
            <w:proofErr w:type="gramStart"/>
            <w:r w:rsidR="00B84DA3" w:rsidRPr="00B84DA3">
              <w:rPr>
                <w:rFonts w:ascii="標楷體" w:eastAsia="標楷體" w:hAnsi="標楷體" w:hint="eastAsia"/>
                <w:b/>
                <w:sz w:val="28"/>
                <w:szCs w:val="28"/>
              </w:rPr>
              <w:t>類案行政</w:t>
            </w:r>
            <w:proofErr w:type="gramEnd"/>
            <w:r w:rsidR="00B84DA3" w:rsidRPr="00B84DA3">
              <w:rPr>
                <w:rFonts w:ascii="標楷體" w:eastAsia="標楷體" w:hAnsi="標楷體" w:hint="eastAsia"/>
                <w:b/>
                <w:sz w:val="28"/>
                <w:szCs w:val="28"/>
              </w:rPr>
              <w:t>裁量時應注意何種事項，方可使承辦人不受司法追訴風險而可以勇於任事。</w:t>
            </w:r>
          </w:p>
        </w:tc>
        <w:tc>
          <w:tcPr>
            <w:tcW w:w="4181" w:type="dxa"/>
          </w:tcPr>
          <w:p w:rsidR="00715A10" w:rsidRPr="00715A10" w:rsidRDefault="00715A10" w:rsidP="00715A10">
            <w:pPr>
              <w:spacing w:line="276" w:lineRule="auto"/>
              <w:jc w:val="both"/>
              <w:rPr>
                <w:rFonts w:ascii="標楷體" w:eastAsia="標楷體" w:hAnsi="標楷體"/>
                <w:b/>
                <w:szCs w:val="24"/>
                <w:u w:val="double"/>
              </w:rPr>
            </w:pPr>
            <w:r w:rsidRPr="00715A10">
              <w:rPr>
                <w:rFonts w:ascii="標楷體" w:eastAsia="標楷體" w:hAnsi="標楷體" w:hint="eastAsia"/>
                <w:b/>
                <w:szCs w:val="24"/>
                <w:u w:val="double"/>
              </w:rPr>
              <w:lastRenderedPageBreak/>
              <w:t>臺灣士林地方法院檢察署檢察官蔡啟文：</w:t>
            </w:r>
          </w:p>
          <w:p w:rsidR="00191B6B" w:rsidRPr="00191B6B" w:rsidRDefault="00715A10" w:rsidP="00715A10">
            <w:pPr>
              <w:spacing w:beforeLines="50" w:before="180"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715A10">
              <w:rPr>
                <w:rFonts w:ascii="標楷體" w:eastAsia="標楷體" w:hAnsi="標楷體" w:hint="eastAsia"/>
                <w:szCs w:val="24"/>
              </w:rPr>
              <w:t>前階段嚴守採購人員倫理準則，</w:t>
            </w:r>
            <w:r>
              <w:rPr>
                <w:rFonts w:ascii="標楷體" w:eastAsia="標楷體" w:hAnsi="標楷體" w:hint="eastAsia"/>
                <w:szCs w:val="24"/>
              </w:rPr>
              <w:t>在辦公室商談事情</w:t>
            </w:r>
            <w:r w:rsidRPr="00715A10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而且</w:t>
            </w:r>
            <w:r w:rsidRPr="00715A10">
              <w:rPr>
                <w:rFonts w:ascii="標楷體" w:eastAsia="標楷體" w:hAnsi="標楷體" w:hint="eastAsia"/>
                <w:szCs w:val="24"/>
              </w:rPr>
              <w:t>不要認為</w:t>
            </w:r>
            <w:r>
              <w:rPr>
                <w:rFonts w:ascii="標楷體" w:eastAsia="標楷體" w:hAnsi="標楷體" w:hint="eastAsia"/>
                <w:szCs w:val="24"/>
              </w:rPr>
              <w:t>與</w:t>
            </w:r>
            <w:r w:rsidRPr="00715A10">
              <w:rPr>
                <w:rFonts w:ascii="標楷體" w:eastAsia="標楷體" w:hAnsi="標楷體" w:hint="eastAsia"/>
                <w:szCs w:val="24"/>
              </w:rPr>
              <w:t>廠商</w:t>
            </w:r>
            <w:r>
              <w:rPr>
                <w:rFonts w:ascii="標楷體" w:eastAsia="標楷體" w:hAnsi="標楷體" w:hint="eastAsia"/>
                <w:szCs w:val="24"/>
              </w:rPr>
              <w:t>吃一頓飯無傷大雅，八仙樂園稽查時招待門票不會怎樣</w:t>
            </w:r>
            <w:r w:rsidRPr="00715A10">
              <w:rPr>
                <w:rFonts w:ascii="標楷體" w:eastAsia="標楷體" w:hAnsi="標楷體" w:hint="eastAsia"/>
                <w:szCs w:val="24"/>
              </w:rPr>
              <w:t>；後階段</w:t>
            </w:r>
            <w:proofErr w:type="gramStart"/>
            <w:r w:rsidRPr="00715A10">
              <w:rPr>
                <w:rFonts w:ascii="標楷體" w:eastAsia="標楷體" w:hAnsi="標楷體" w:hint="eastAsia"/>
                <w:szCs w:val="24"/>
              </w:rPr>
              <w:t>踐行</w:t>
            </w:r>
            <w:proofErr w:type="gramEnd"/>
            <w:r w:rsidRPr="00715A10">
              <w:rPr>
                <w:rFonts w:ascii="標楷體" w:eastAsia="標楷體" w:hAnsi="標楷體" w:hint="eastAsia"/>
                <w:szCs w:val="24"/>
              </w:rPr>
              <w:t>公開透明審查機制，</w:t>
            </w:r>
            <w:r>
              <w:rPr>
                <w:rFonts w:ascii="標楷體" w:eastAsia="標楷體" w:hAnsi="標楷體" w:hint="eastAsia"/>
                <w:szCs w:val="24"/>
              </w:rPr>
              <w:t>商談事情時記得要錄音、錄影存證，免得讓人有</w:t>
            </w:r>
            <w:r w:rsidRPr="00715A10">
              <w:rPr>
                <w:rFonts w:ascii="標楷體" w:eastAsia="標楷體" w:hAnsi="標楷體" w:hint="eastAsia"/>
                <w:szCs w:val="24"/>
              </w:rPr>
              <w:t>密談之嫌。</w:t>
            </w:r>
          </w:p>
        </w:tc>
      </w:tr>
      <w:tr w:rsidR="00715A10" w:rsidTr="00715A10">
        <w:tc>
          <w:tcPr>
            <w:tcW w:w="4181" w:type="dxa"/>
          </w:tcPr>
          <w:p w:rsidR="001B6723" w:rsidRDefault="00715A10" w:rsidP="001B6723">
            <w:pPr>
              <w:spacing w:line="0" w:lineRule="atLeast"/>
              <w:ind w:left="561" w:hangingChars="200" w:hanging="56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五、</w:t>
            </w:r>
            <w:r w:rsidRPr="00715A10">
              <w:rPr>
                <w:rFonts w:ascii="標楷體" w:eastAsia="標楷體" w:hAnsi="標楷體" w:hint="eastAsia"/>
                <w:b/>
                <w:sz w:val="28"/>
                <w:szCs w:val="28"/>
              </w:rPr>
              <w:t>工程執行或業務推動過程常有地方人士之需求請託情事，</w:t>
            </w:r>
            <w:proofErr w:type="gramStart"/>
            <w:r w:rsidRPr="00715A10">
              <w:rPr>
                <w:rFonts w:ascii="標楷體" w:eastAsia="標楷體" w:hAnsi="標楷體" w:hint="eastAsia"/>
                <w:b/>
                <w:sz w:val="28"/>
                <w:szCs w:val="28"/>
              </w:rPr>
              <w:t>或遇系爭</w:t>
            </w:r>
            <w:proofErr w:type="gramEnd"/>
            <w:r w:rsidRPr="00715A10">
              <w:rPr>
                <w:rFonts w:ascii="標楷體" w:eastAsia="標楷體" w:hAnsi="標楷體" w:hint="eastAsia"/>
                <w:b/>
                <w:sz w:val="28"/>
                <w:szCs w:val="28"/>
              </w:rPr>
              <w:t>時廠商找民代關切(說)，遇此情形時，如何在順利推動工程（業務）與公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務員廉政倫理規範及相關法律間取得平衡，怎麼做才不會有適法性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疑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虞？</w:t>
            </w:r>
          </w:p>
          <w:p w:rsidR="001B6723" w:rsidRPr="001B6723" w:rsidRDefault="001B6723" w:rsidP="001B6723">
            <w:pPr>
              <w:spacing w:line="0" w:lineRule="atLeast"/>
              <w:ind w:left="561" w:hangingChars="200" w:hanging="56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181" w:type="dxa"/>
          </w:tcPr>
          <w:p w:rsidR="00715A10" w:rsidRPr="00715A10" w:rsidRDefault="00715A10" w:rsidP="00715A10">
            <w:pPr>
              <w:spacing w:line="276" w:lineRule="auto"/>
              <w:jc w:val="both"/>
              <w:rPr>
                <w:rFonts w:ascii="標楷體" w:eastAsia="標楷體" w:hAnsi="標楷體"/>
                <w:b/>
                <w:u w:val="double"/>
              </w:rPr>
            </w:pPr>
            <w:r w:rsidRPr="00715A10">
              <w:rPr>
                <w:rFonts w:ascii="標楷體" w:eastAsia="標楷體" w:hAnsi="標楷體" w:hint="eastAsia"/>
                <w:b/>
                <w:u w:val="double"/>
              </w:rPr>
              <w:t>臺灣士林地方法院檢察署檢察官蔡啟文：</w:t>
            </w:r>
          </w:p>
          <w:p w:rsidR="00715A10" w:rsidRPr="00715A10" w:rsidRDefault="00715A10" w:rsidP="00715A10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面對民代關切，</w:t>
            </w:r>
            <w:r w:rsidRPr="00715A10">
              <w:rPr>
                <w:rFonts w:ascii="標楷體" w:eastAsia="標楷體" w:hAnsi="標楷體" w:hint="eastAsia"/>
              </w:rPr>
              <w:t>如果契約上已有</w:t>
            </w:r>
            <w:r w:rsidR="00F925E7">
              <w:rPr>
                <w:rFonts w:ascii="標楷體" w:eastAsia="標楷體" w:hAnsi="標楷體" w:hint="eastAsia"/>
              </w:rPr>
              <w:t>明確的規定，則應予婉拒，即使拒絕民代關說可能會面臨一些可能想像不</w:t>
            </w:r>
            <w:r w:rsidRPr="00715A10">
              <w:rPr>
                <w:rFonts w:ascii="標楷體" w:eastAsia="標楷體" w:hAnsi="標楷體" w:hint="eastAsia"/>
              </w:rPr>
              <w:t>到的問題，也要</w:t>
            </w:r>
            <w:bookmarkStart w:id="0" w:name="_GoBack"/>
            <w:bookmarkEnd w:id="0"/>
            <w:r w:rsidRPr="00715A10">
              <w:rPr>
                <w:rFonts w:ascii="標楷體" w:eastAsia="標楷體" w:hAnsi="標楷體" w:hint="eastAsia"/>
              </w:rPr>
              <w:t>做適法的處理。</w:t>
            </w:r>
          </w:p>
          <w:p w:rsidR="00715A10" w:rsidRPr="00715A10" w:rsidRDefault="00715A10" w:rsidP="00715A10">
            <w:pPr>
              <w:spacing w:line="276" w:lineRule="auto"/>
              <w:jc w:val="both"/>
              <w:rPr>
                <w:rFonts w:ascii="標楷體" w:eastAsia="標楷體" w:hAnsi="標楷體"/>
                <w:b/>
                <w:u w:val="double"/>
              </w:rPr>
            </w:pPr>
            <w:r w:rsidRPr="00715A10">
              <w:rPr>
                <w:rFonts w:ascii="標楷體" w:eastAsia="標楷體" w:hAnsi="標楷體" w:hint="eastAsia"/>
                <w:b/>
                <w:u w:val="double"/>
              </w:rPr>
              <w:t>臺灣港務股份有限公司政風處代理資深處長黃秀銀：</w:t>
            </w:r>
          </w:p>
          <w:p w:rsidR="00715A10" w:rsidRDefault="00715A10" w:rsidP="00715A10">
            <w:pPr>
              <w:spacing w:line="276" w:lineRule="auto"/>
              <w:jc w:val="both"/>
            </w:pPr>
            <w:r w:rsidRPr="00715A10">
              <w:rPr>
                <w:rFonts w:ascii="標楷體" w:eastAsia="標楷體" w:hAnsi="標楷體" w:hint="eastAsia"/>
              </w:rPr>
              <w:t>廠商找民代關切，</w:t>
            </w:r>
            <w:r>
              <w:rPr>
                <w:rFonts w:ascii="標楷體" w:eastAsia="標楷體" w:hAnsi="標楷體" w:hint="eastAsia"/>
              </w:rPr>
              <w:t>通常是針對契約</w:t>
            </w:r>
            <w:r w:rsidRPr="00715A10">
              <w:rPr>
                <w:rFonts w:ascii="標楷體" w:eastAsia="標楷體" w:hAnsi="標楷體" w:hint="eastAsia"/>
              </w:rPr>
              <w:t>規範或施工方向、內容與工程承辦人員的看法不一致，如</w:t>
            </w:r>
            <w:r>
              <w:rPr>
                <w:rFonts w:ascii="標楷體" w:eastAsia="標楷體" w:hAnsi="標楷體" w:hint="eastAsia"/>
              </w:rPr>
              <w:t>果</w:t>
            </w:r>
            <w:r w:rsidRPr="00715A10">
              <w:rPr>
                <w:rFonts w:ascii="標楷體" w:eastAsia="標楷體" w:hAnsi="標楷體" w:hint="eastAsia"/>
              </w:rPr>
              <w:t>僅是針對契約有疑慮的部分，建議可向上級機關請示；</w:t>
            </w:r>
            <w:r w:rsidR="001B6723">
              <w:rPr>
                <w:rFonts w:ascii="標楷體" w:eastAsia="標楷體" w:hAnsi="標楷體" w:hint="eastAsia"/>
              </w:rPr>
              <w:t>但</w:t>
            </w:r>
            <w:r w:rsidRPr="00715A10">
              <w:rPr>
                <w:rFonts w:ascii="標楷體" w:eastAsia="標楷體" w:hAnsi="標楷體" w:hint="eastAsia"/>
              </w:rPr>
              <w:t>合約已有明確規定</w:t>
            </w:r>
            <w:r w:rsidR="001B6723">
              <w:rPr>
                <w:rFonts w:ascii="標楷體" w:eastAsia="標楷體" w:hAnsi="標楷體" w:hint="eastAsia"/>
              </w:rPr>
              <w:t>，而</w:t>
            </w:r>
            <w:r w:rsidRPr="00715A10">
              <w:rPr>
                <w:rFonts w:ascii="標楷體" w:eastAsia="標楷體" w:hAnsi="標楷體" w:hint="eastAsia"/>
              </w:rPr>
              <w:t>民代關切事項如有違反法令之虞，請於3日內將</w:t>
            </w:r>
            <w:r w:rsidR="001B6723">
              <w:rPr>
                <w:rFonts w:ascii="標楷體" w:eastAsia="標楷體" w:hAnsi="標楷體" w:hint="eastAsia"/>
              </w:rPr>
              <w:t>民代關切事項、內容及違反</w:t>
            </w:r>
            <w:r w:rsidRPr="00715A10">
              <w:rPr>
                <w:rFonts w:ascii="標楷體" w:eastAsia="標楷體" w:hAnsi="標楷體" w:hint="eastAsia"/>
              </w:rPr>
              <w:t>情形向政風單位登錄。</w:t>
            </w:r>
          </w:p>
        </w:tc>
      </w:tr>
    </w:tbl>
    <w:p w:rsidR="00A64A39" w:rsidRPr="00623D33" w:rsidRDefault="00A64A39" w:rsidP="00B75734">
      <w:pPr>
        <w:jc w:val="both"/>
      </w:pPr>
    </w:p>
    <w:sectPr w:rsidR="00A64A39" w:rsidRPr="00623D33" w:rsidSect="00D819F5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78" w:rsidRDefault="00532F78" w:rsidP="006E7852">
      <w:r>
        <w:separator/>
      </w:r>
    </w:p>
  </w:endnote>
  <w:endnote w:type="continuationSeparator" w:id="0">
    <w:p w:rsidR="00532F78" w:rsidRDefault="00532F78" w:rsidP="006E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521788"/>
      <w:docPartObj>
        <w:docPartGallery w:val="Page Numbers (Bottom of Page)"/>
        <w:docPartUnique/>
      </w:docPartObj>
    </w:sdtPr>
    <w:sdtEndPr/>
    <w:sdtContent>
      <w:p w:rsidR="004E75B4" w:rsidRDefault="004E75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5E7" w:rsidRPr="00F925E7">
          <w:rPr>
            <w:noProof/>
            <w:lang w:val="zh-TW"/>
          </w:rPr>
          <w:t>4</w:t>
        </w:r>
        <w:r>
          <w:fldChar w:fldCharType="end"/>
        </w:r>
      </w:p>
    </w:sdtContent>
  </w:sdt>
  <w:p w:rsidR="004E75B4" w:rsidRDefault="004E75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78" w:rsidRDefault="00532F78" w:rsidP="006E7852">
      <w:r>
        <w:separator/>
      </w:r>
    </w:p>
  </w:footnote>
  <w:footnote w:type="continuationSeparator" w:id="0">
    <w:p w:rsidR="00532F78" w:rsidRDefault="00532F78" w:rsidP="006E7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BD8"/>
    <w:multiLevelType w:val="hybridMultilevel"/>
    <w:tmpl w:val="D79062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FA3A15"/>
    <w:multiLevelType w:val="hybridMultilevel"/>
    <w:tmpl w:val="0AA6CC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143E5C"/>
    <w:multiLevelType w:val="hybridMultilevel"/>
    <w:tmpl w:val="2F042C8E"/>
    <w:lvl w:ilvl="0" w:tplc="B7B4E6A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B4480F"/>
    <w:multiLevelType w:val="hybridMultilevel"/>
    <w:tmpl w:val="C82488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4006CC"/>
    <w:multiLevelType w:val="hybridMultilevel"/>
    <w:tmpl w:val="287A3DDE"/>
    <w:lvl w:ilvl="0" w:tplc="F7F64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0B2B09"/>
    <w:multiLevelType w:val="hybridMultilevel"/>
    <w:tmpl w:val="756081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C06362"/>
    <w:multiLevelType w:val="hybridMultilevel"/>
    <w:tmpl w:val="0980D3C6"/>
    <w:lvl w:ilvl="0" w:tplc="5158F48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0BF18D9"/>
    <w:multiLevelType w:val="hybridMultilevel"/>
    <w:tmpl w:val="EA2663C4"/>
    <w:lvl w:ilvl="0" w:tplc="E556BD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09661F4"/>
    <w:multiLevelType w:val="hybridMultilevel"/>
    <w:tmpl w:val="6FB0522A"/>
    <w:lvl w:ilvl="0" w:tplc="267EF3B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74708EF"/>
    <w:multiLevelType w:val="hybridMultilevel"/>
    <w:tmpl w:val="E3C24894"/>
    <w:lvl w:ilvl="0" w:tplc="CAAA5D90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5966809"/>
    <w:multiLevelType w:val="hybridMultilevel"/>
    <w:tmpl w:val="129C5952"/>
    <w:lvl w:ilvl="0" w:tplc="02108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8DC1A65"/>
    <w:multiLevelType w:val="hybridMultilevel"/>
    <w:tmpl w:val="C75E07F4"/>
    <w:lvl w:ilvl="0" w:tplc="2AB6CB9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F85DC0"/>
    <w:multiLevelType w:val="hybridMultilevel"/>
    <w:tmpl w:val="231EB7CC"/>
    <w:lvl w:ilvl="0" w:tplc="D9B46702">
      <w:start w:val="1"/>
      <w:numFmt w:val="taiwaneseCountingThousand"/>
      <w:lvlText w:val="%1、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3">
    <w:nsid w:val="730E424E"/>
    <w:multiLevelType w:val="hybridMultilevel"/>
    <w:tmpl w:val="B67061B0"/>
    <w:lvl w:ilvl="0" w:tplc="C680A58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3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39"/>
    <w:rsid w:val="0001178E"/>
    <w:rsid w:val="0003317D"/>
    <w:rsid w:val="00075404"/>
    <w:rsid w:val="00081400"/>
    <w:rsid w:val="000A7656"/>
    <w:rsid w:val="00112408"/>
    <w:rsid w:val="00112BAC"/>
    <w:rsid w:val="0013442D"/>
    <w:rsid w:val="001364A3"/>
    <w:rsid w:val="00146292"/>
    <w:rsid w:val="00165946"/>
    <w:rsid w:val="001868C7"/>
    <w:rsid w:val="00191B6B"/>
    <w:rsid w:val="001B6723"/>
    <w:rsid w:val="001E6526"/>
    <w:rsid w:val="002343F3"/>
    <w:rsid w:val="00275078"/>
    <w:rsid w:val="00285136"/>
    <w:rsid w:val="002A66C7"/>
    <w:rsid w:val="002B2955"/>
    <w:rsid w:val="002C735C"/>
    <w:rsid w:val="002F149F"/>
    <w:rsid w:val="002F1602"/>
    <w:rsid w:val="002F7500"/>
    <w:rsid w:val="00312874"/>
    <w:rsid w:val="003470FB"/>
    <w:rsid w:val="00347165"/>
    <w:rsid w:val="00382F50"/>
    <w:rsid w:val="003910B7"/>
    <w:rsid w:val="003D61AE"/>
    <w:rsid w:val="003F618B"/>
    <w:rsid w:val="00404BE9"/>
    <w:rsid w:val="00430CCC"/>
    <w:rsid w:val="004413B1"/>
    <w:rsid w:val="00480C44"/>
    <w:rsid w:val="00487A80"/>
    <w:rsid w:val="00490360"/>
    <w:rsid w:val="004B1497"/>
    <w:rsid w:val="004B7734"/>
    <w:rsid w:val="004E75B4"/>
    <w:rsid w:val="004F5123"/>
    <w:rsid w:val="00532F78"/>
    <w:rsid w:val="005479F4"/>
    <w:rsid w:val="00572462"/>
    <w:rsid w:val="0058692D"/>
    <w:rsid w:val="005B5235"/>
    <w:rsid w:val="005B6D26"/>
    <w:rsid w:val="006119D8"/>
    <w:rsid w:val="00623D33"/>
    <w:rsid w:val="0063238A"/>
    <w:rsid w:val="006853E9"/>
    <w:rsid w:val="00686C75"/>
    <w:rsid w:val="006A6D81"/>
    <w:rsid w:val="006D49EB"/>
    <w:rsid w:val="006E7852"/>
    <w:rsid w:val="007016E0"/>
    <w:rsid w:val="00715A10"/>
    <w:rsid w:val="007659FD"/>
    <w:rsid w:val="00765B00"/>
    <w:rsid w:val="00790A33"/>
    <w:rsid w:val="007D2E21"/>
    <w:rsid w:val="007D4B1A"/>
    <w:rsid w:val="008319F9"/>
    <w:rsid w:val="00835B02"/>
    <w:rsid w:val="008559E0"/>
    <w:rsid w:val="00863A0E"/>
    <w:rsid w:val="00884D03"/>
    <w:rsid w:val="008C3755"/>
    <w:rsid w:val="008E2979"/>
    <w:rsid w:val="008E4DEC"/>
    <w:rsid w:val="00915D34"/>
    <w:rsid w:val="00921C65"/>
    <w:rsid w:val="00927D0E"/>
    <w:rsid w:val="0096170E"/>
    <w:rsid w:val="009824A4"/>
    <w:rsid w:val="00986640"/>
    <w:rsid w:val="009B6560"/>
    <w:rsid w:val="009D4A11"/>
    <w:rsid w:val="009E73A4"/>
    <w:rsid w:val="009E7583"/>
    <w:rsid w:val="00A0264F"/>
    <w:rsid w:val="00A02D72"/>
    <w:rsid w:val="00A12612"/>
    <w:rsid w:val="00A42CDB"/>
    <w:rsid w:val="00A45533"/>
    <w:rsid w:val="00A64A39"/>
    <w:rsid w:val="00A66726"/>
    <w:rsid w:val="00A7471B"/>
    <w:rsid w:val="00A77305"/>
    <w:rsid w:val="00A8712C"/>
    <w:rsid w:val="00A960D7"/>
    <w:rsid w:val="00AB0406"/>
    <w:rsid w:val="00AC01C2"/>
    <w:rsid w:val="00AC429D"/>
    <w:rsid w:val="00AE0600"/>
    <w:rsid w:val="00AE449A"/>
    <w:rsid w:val="00AE6222"/>
    <w:rsid w:val="00B06B10"/>
    <w:rsid w:val="00B111EB"/>
    <w:rsid w:val="00B40578"/>
    <w:rsid w:val="00B62E3A"/>
    <w:rsid w:val="00B73C37"/>
    <w:rsid w:val="00B754FB"/>
    <w:rsid w:val="00B75734"/>
    <w:rsid w:val="00B80D79"/>
    <w:rsid w:val="00B84DA3"/>
    <w:rsid w:val="00B9672F"/>
    <w:rsid w:val="00BA40C1"/>
    <w:rsid w:val="00BA5493"/>
    <w:rsid w:val="00BC45C0"/>
    <w:rsid w:val="00BC63FF"/>
    <w:rsid w:val="00BD39FC"/>
    <w:rsid w:val="00BE1340"/>
    <w:rsid w:val="00BF49A9"/>
    <w:rsid w:val="00C14533"/>
    <w:rsid w:val="00C30FCC"/>
    <w:rsid w:val="00C3605E"/>
    <w:rsid w:val="00C574FB"/>
    <w:rsid w:val="00C61C91"/>
    <w:rsid w:val="00CC7BB2"/>
    <w:rsid w:val="00CE69B5"/>
    <w:rsid w:val="00CF33C2"/>
    <w:rsid w:val="00CF3F72"/>
    <w:rsid w:val="00D47168"/>
    <w:rsid w:val="00D62B27"/>
    <w:rsid w:val="00D819F5"/>
    <w:rsid w:val="00DB2B04"/>
    <w:rsid w:val="00DB42D1"/>
    <w:rsid w:val="00DB66B7"/>
    <w:rsid w:val="00DB6C33"/>
    <w:rsid w:val="00E0295B"/>
    <w:rsid w:val="00E42D37"/>
    <w:rsid w:val="00E9410F"/>
    <w:rsid w:val="00EB1214"/>
    <w:rsid w:val="00EB1956"/>
    <w:rsid w:val="00EB5E2E"/>
    <w:rsid w:val="00ED25E3"/>
    <w:rsid w:val="00ED5DFE"/>
    <w:rsid w:val="00EE027B"/>
    <w:rsid w:val="00EE254C"/>
    <w:rsid w:val="00EF1398"/>
    <w:rsid w:val="00F04C9F"/>
    <w:rsid w:val="00F154C2"/>
    <w:rsid w:val="00F215E4"/>
    <w:rsid w:val="00F605E4"/>
    <w:rsid w:val="00F63081"/>
    <w:rsid w:val="00F925E7"/>
    <w:rsid w:val="00FA1F3A"/>
    <w:rsid w:val="00FD2B25"/>
    <w:rsid w:val="00FE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4A3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E7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78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E7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785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4A3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E7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78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E78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E78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7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6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6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783F9-231E-4857-B3B8-F1E0E589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洪敦彥</dc:creator>
  <cp:lastModifiedBy>劉慧芬</cp:lastModifiedBy>
  <cp:revision>5</cp:revision>
  <cp:lastPrinted>2014-12-25T05:57:00Z</cp:lastPrinted>
  <dcterms:created xsi:type="dcterms:W3CDTF">2015-11-21T06:53:00Z</dcterms:created>
  <dcterms:modified xsi:type="dcterms:W3CDTF">2015-11-26T02:14:00Z</dcterms:modified>
</cp:coreProperties>
</file>